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02B9" w:rsidRDefault="00DA02B9">
      <w:pPr>
        <w:widowControl/>
        <w:jc w:val="left"/>
        <w:rPr>
          <w:rFonts w:ascii="仿宋_GB2312" w:eastAsia="仿宋_GB2312" w:hAnsi="仿宋_GB2312" w:cs="仿宋_GB2312"/>
          <w:b/>
          <w:bCs/>
          <w:color w:val="000000"/>
          <w:kern w:val="0"/>
          <w:sz w:val="32"/>
          <w:szCs w:val="32"/>
        </w:rPr>
      </w:pPr>
      <w:bookmarkStart w:id="0" w:name="_GoBack"/>
      <w:bookmarkEnd w:id="0"/>
    </w:p>
    <w:p w:rsidR="00DA02B9" w:rsidRDefault="003229D3">
      <w:pPr>
        <w:pStyle w:val="10"/>
        <w:tabs>
          <w:tab w:val="right" w:leader="dot" w:pos="9066"/>
        </w:tabs>
        <w:rPr>
          <w:rFonts w:ascii="黑体" w:eastAsia="黑体" w:hAnsi="黑体" w:cs="黑体"/>
          <w:b w:val="0"/>
          <w:sz w:val="44"/>
          <w:szCs w:val="44"/>
        </w:rPr>
      </w:pPr>
      <w:r>
        <w:rPr>
          <w:rFonts w:ascii="黑体" w:eastAsia="黑体" w:hAnsi="黑体" w:cs="黑体" w:hint="eastAsia"/>
          <w:b w:val="0"/>
          <w:color w:val="000000"/>
          <w:kern w:val="0"/>
          <w:sz w:val="44"/>
          <w:szCs w:val="44"/>
        </w:rPr>
        <w:t>信息通信行业发展规划（</w:t>
      </w:r>
      <w:r>
        <w:rPr>
          <w:rFonts w:ascii="黑体" w:eastAsia="黑体" w:hAnsi="黑体" w:cs="黑体" w:hint="eastAsia"/>
          <w:b w:val="0"/>
          <w:color w:val="000000"/>
          <w:kern w:val="0"/>
          <w:sz w:val="44"/>
          <w:szCs w:val="44"/>
        </w:rPr>
        <w:t>2016-2020</w:t>
      </w:r>
      <w:r>
        <w:rPr>
          <w:rFonts w:ascii="黑体" w:eastAsia="黑体" w:hAnsi="黑体" w:cs="黑体" w:hint="eastAsia"/>
          <w:b w:val="0"/>
          <w:color w:val="000000"/>
          <w:kern w:val="0"/>
          <w:sz w:val="44"/>
          <w:szCs w:val="44"/>
        </w:rPr>
        <w:t>年）</w:t>
      </w:r>
    </w:p>
    <w:p w:rsidR="00DA02B9" w:rsidRDefault="00DA02B9">
      <w:pPr>
        <w:widowControl/>
        <w:ind w:firstLineChars="200" w:firstLine="640"/>
        <w:rPr>
          <w:rFonts w:ascii="仿宋_GB2312" w:eastAsia="仿宋_GB2312" w:hAnsi="仿宋_GB2312" w:cs="仿宋_GB2312"/>
          <w:color w:val="000000"/>
          <w:sz w:val="32"/>
          <w:szCs w:val="32"/>
        </w:rPr>
      </w:pPr>
    </w:p>
    <w:p w:rsidR="00DA02B9" w:rsidRDefault="003229D3">
      <w:pPr>
        <w:widowControl/>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信息通信业是构建国家信息基础设施，提供网络和信息服务，全面支撑经济社会发展的战略性、基础性和先导性行业。随着互联网、物联网、云计算、大数据等技术加快发展，信息通信业内涵不断丰富，从传统电信服务、互联网服务延伸到物联网服务等新业态。</w:t>
      </w:r>
    </w:p>
    <w:p w:rsidR="00DA02B9" w:rsidRDefault="003229D3">
      <w:pPr>
        <w:widowControl/>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信息通信业是目前发展最快、最具创新活力的领域之一。“十二五”期间，信息通信业在支撑引领经济社会转型发展、提升政府治理能力和公共服务方面做出了巨大贡献，在国际上也产生较大影响。“十三五”时期，我国面对更加错综复杂的国内外发展环境，着力推进供给侧结构性改革，切实转变发展方式，确保实现全面建成</w:t>
      </w:r>
      <w:hyperlink r:id="rId8" w:tgtFrame="_blank" w:history="1">
        <w:r>
          <w:rPr>
            <w:rFonts w:ascii="仿宋_GB2312" w:eastAsia="仿宋_GB2312" w:hAnsi="仿宋_GB2312" w:cs="仿宋_GB2312" w:hint="eastAsia"/>
            <w:color w:val="000000"/>
            <w:sz w:val="32"/>
            <w:szCs w:val="32"/>
          </w:rPr>
          <w:t>小康社会</w:t>
        </w:r>
      </w:hyperlink>
      <w:r>
        <w:rPr>
          <w:rFonts w:ascii="仿宋_GB2312" w:eastAsia="仿宋_GB2312" w:hAnsi="仿宋_GB2312" w:cs="仿宋_GB2312" w:hint="eastAsia"/>
          <w:color w:val="000000"/>
          <w:sz w:val="32"/>
          <w:szCs w:val="32"/>
        </w:rPr>
        <w:t>的宏伟目标，信息通信业也将面临新的发展机遇和挑战。</w:t>
      </w:r>
    </w:p>
    <w:p w:rsidR="00DA02B9" w:rsidRDefault="003229D3">
      <w:pPr>
        <w:widowControl/>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根据《国民经济和社会发展第十三</w:t>
      </w:r>
      <w:r>
        <w:rPr>
          <w:rFonts w:ascii="仿宋_GB2312" w:eastAsia="仿宋_GB2312" w:hAnsi="仿宋_GB2312" w:cs="仿宋_GB2312" w:hint="eastAsia"/>
          <w:color w:val="000000"/>
          <w:sz w:val="32"/>
          <w:szCs w:val="32"/>
        </w:rPr>
        <w:t>个五年规划纲要》和国务院相关文件要求，工业和信息化部编制了《信息通信行业发展规划（</w:t>
      </w:r>
      <w:r>
        <w:rPr>
          <w:rFonts w:ascii="仿宋_GB2312" w:eastAsia="仿宋_GB2312" w:hAnsi="仿宋_GB2312" w:cs="仿宋_GB2312" w:hint="eastAsia"/>
          <w:color w:val="000000"/>
          <w:sz w:val="32"/>
          <w:szCs w:val="32"/>
        </w:rPr>
        <w:t>2016-2020</w:t>
      </w:r>
      <w:r>
        <w:rPr>
          <w:rFonts w:ascii="仿宋_GB2312" w:eastAsia="仿宋_GB2312" w:hAnsi="仿宋_GB2312" w:cs="仿宋_GB2312" w:hint="eastAsia"/>
          <w:color w:val="000000"/>
          <w:sz w:val="32"/>
          <w:szCs w:val="32"/>
        </w:rPr>
        <w:t>年）》。本规划是指导信息通信业未来五年发展、加快建设网络强国、推动“四化”同步发展、引导市场主体行为、配置政府公共资源的重要依据。</w:t>
      </w:r>
    </w:p>
    <w:p w:rsidR="00DA02B9" w:rsidRDefault="003229D3">
      <w:pPr>
        <w:widowControl/>
        <w:ind w:firstLineChars="200" w:firstLine="640"/>
        <w:outlineLvl w:val="0"/>
        <w:rPr>
          <w:rFonts w:ascii="黑体" w:eastAsia="黑体" w:hAnsi="黑体" w:cs="黑体"/>
          <w:color w:val="000000"/>
          <w:sz w:val="32"/>
          <w:szCs w:val="32"/>
        </w:rPr>
      </w:pPr>
      <w:r>
        <w:rPr>
          <w:rFonts w:ascii="黑体" w:eastAsia="黑体" w:hAnsi="黑体" w:cs="黑体" w:hint="eastAsia"/>
          <w:color w:val="000000"/>
          <w:sz w:val="32"/>
          <w:szCs w:val="32"/>
        </w:rPr>
        <w:t>一、发展回顾及面临形势</w:t>
      </w:r>
    </w:p>
    <w:p w:rsidR="00DA02B9" w:rsidRDefault="003229D3">
      <w:pPr>
        <w:pStyle w:val="2"/>
        <w:spacing w:before="0" w:after="0" w:line="240" w:lineRule="auto"/>
        <w:ind w:left="640"/>
        <w:rPr>
          <w:rFonts w:ascii="楷体_GB2312" w:eastAsia="楷体_GB2312" w:hAnsi="楷体_GB2312" w:cs="楷体_GB2312"/>
          <w:bCs w:val="0"/>
          <w:color w:val="000000"/>
        </w:rPr>
      </w:pPr>
      <w:bookmarkStart w:id="1" w:name="_Toc15297"/>
      <w:bookmarkStart w:id="2" w:name="_Toc11048"/>
      <w:bookmarkStart w:id="3" w:name="_Toc451533426"/>
      <w:bookmarkStart w:id="4" w:name="_Toc452557636"/>
      <w:bookmarkStart w:id="5" w:name="_Toc448845016"/>
      <w:bookmarkStart w:id="6" w:name="_Toc30150"/>
      <w:r>
        <w:rPr>
          <w:rFonts w:ascii="楷体_GB2312" w:eastAsia="楷体_GB2312" w:hAnsi="楷体_GB2312" w:cs="楷体_GB2312" w:hint="eastAsia"/>
          <w:bCs w:val="0"/>
          <w:color w:val="000000"/>
        </w:rPr>
        <w:lastRenderedPageBreak/>
        <w:t>（一）“十二五”发展回顾</w:t>
      </w:r>
      <w:bookmarkEnd w:id="1"/>
      <w:bookmarkEnd w:id="2"/>
      <w:bookmarkEnd w:id="3"/>
      <w:bookmarkEnd w:id="4"/>
      <w:bookmarkEnd w:id="5"/>
      <w:bookmarkEnd w:id="6"/>
    </w:p>
    <w:p w:rsidR="00DA02B9" w:rsidRDefault="003229D3">
      <w:pPr>
        <w:autoSpaceDN w:val="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“十二五”期间，信息通信业总体保持良好发展势头。</w:t>
      </w:r>
      <w:r>
        <w:rPr>
          <w:rFonts w:ascii="仿宋_GB2312" w:eastAsia="仿宋_GB2312" w:hAnsi="仿宋_GB2312" w:cs="仿宋_GB2312" w:hint="eastAsia"/>
          <w:b/>
          <w:color w:val="000000"/>
          <w:sz w:val="32"/>
          <w:szCs w:val="32"/>
        </w:rPr>
        <w:t>行业收入规模稳定增长</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b/>
          <w:color w:val="000000"/>
          <w:sz w:val="32"/>
          <w:szCs w:val="32"/>
        </w:rPr>
        <w:t>转型升级不断推进。</w:t>
      </w:r>
      <w:r>
        <w:rPr>
          <w:rFonts w:ascii="仿宋_GB2312" w:eastAsia="仿宋_GB2312" w:hAnsi="仿宋_GB2312" w:cs="仿宋_GB2312" w:hint="eastAsia"/>
          <w:color w:val="000000"/>
          <w:sz w:val="32"/>
          <w:szCs w:val="32"/>
        </w:rPr>
        <w:t>2015</w:t>
      </w:r>
      <w:r>
        <w:rPr>
          <w:rFonts w:ascii="仿宋_GB2312" w:eastAsia="仿宋_GB2312" w:hAnsi="仿宋_GB2312" w:cs="仿宋_GB2312" w:hint="eastAsia"/>
          <w:color w:val="000000"/>
          <w:sz w:val="32"/>
          <w:szCs w:val="32"/>
        </w:rPr>
        <w:t>年</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信息通信服务收入达到</w:t>
      </w:r>
      <w:r>
        <w:rPr>
          <w:rFonts w:ascii="仿宋_GB2312" w:eastAsia="仿宋_GB2312" w:hAnsi="仿宋_GB2312" w:cs="仿宋_GB2312" w:hint="eastAsia"/>
          <w:color w:val="000000"/>
          <w:sz w:val="32"/>
          <w:szCs w:val="32"/>
        </w:rPr>
        <w:t>1.</w:t>
      </w:r>
      <w:r>
        <w:rPr>
          <w:rFonts w:ascii="仿宋_GB2312" w:eastAsia="仿宋_GB2312" w:hAnsi="仿宋_GB2312" w:cs="仿宋_GB2312" w:hint="eastAsia"/>
          <w:color w:val="000000"/>
          <w:sz w:val="32"/>
          <w:szCs w:val="32"/>
        </w:rPr>
        <w:t>7</w:t>
      </w:r>
      <w:r>
        <w:rPr>
          <w:rFonts w:ascii="仿宋_GB2312" w:eastAsia="仿宋_GB2312" w:hAnsi="仿宋_GB2312" w:cs="仿宋_GB2312" w:hint="eastAsia"/>
          <w:color w:val="000000"/>
          <w:sz w:val="32"/>
          <w:szCs w:val="32"/>
        </w:rPr>
        <w:t>万亿元，超额完成“十二五”规划目标，其中基础电信企业收入达到</w:t>
      </w:r>
      <w:r>
        <w:rPr>
          <w:rFonts w:ascii="仿宋_GB2312" w:eastAsia="仿宋_GB2312" w:hAnsi="仿宋_GB2312" w:cs="仿宋_GB2312" w:hint="eastAsia"/>
          <w:color w:val="000000"/>
          <w:sz w:val="32"/>
          <w:szCs w:val="32"/>
        </w:rPr>
        <w:t>1.1</w:t>
      </w:r>
      <w:r>
        <w:rPr>
          <w:rFonts w:ascii="仿宋_GB2312" w:eastAsia="仿宋_GB2312" w:hAnsi="仿宋_GB2312" w:cs="仿宋_GB2312" w:hint="eastAsia"/>
          <w:color w:val="000000"/>
          <w:sz w:val="32"/>
          <w:szCs w:val="32"/>
        </w:rPr>
        <w:t>7</w:t>
      </w:r>
      <w:r>
        <w:rPr>
          <w:rFonts w:ascii="仿宋_GB2312" w:eastAsia="仿宋_GB2312" w:hAnsi="仿宋_GB2312" w:cs="仿宋_GB2312" w:hint="eastAsia"/>
          <w:color w:val="000000"/>
          <w:sz w:val="32"/>
          <w:szCs w:val="32"/>
        </w:rPr>
        <w:t>万亿元，年均增长</w:t>
      </w:r>
      <w:r>
        <w:rPr>
          <w:rFonts w:ascii="仿宋_GB2312" w:eastAsia="仿宋_GB2312" w:hAnsi="仿宋_GB2312" w:cs="仿宋_GB2312" w:hint="eastAsia"/>
          <w:color w:val="000000"/>
          <w:sz w:val="32"/>
          <w:szCs w:val="32"/>
        </w:rPr>
        <w:t>5.4</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；增值电信企业收入达到</w:t>
      </w:r>
      <w:r>
        <w:rPr>
          <w:rFonts w:ascii="仿宋_GB2312" w:eastAsia="仿宋_GB2312" w:hAnsi="仿宋_GB2312" w:cs="仿宋_GB2312" w:hint="eastAsia"/>
          <w:color w:val="000000"/>
          <w:sz w:val="32"/>
          <w:szCs w:val="32"/>
        </w:rPr>
        <w:t>5444</w:t>
      </w:r>
      <w:r>
        <w:rPr>
          <w:rFonts w:ascii="仿宋_GB2312" w:eastAsia="仿宋_GB2312" w:hAnsi="仿宋_GB2312" w:cs="仿宋_GB2312" w:hint="eastAsia"/>
          <w:color w:val="000000"/>
          <w:sz w:val="32"/>
          <w:szCs w:val="32"/>
        </w:rPr>
        <w:t>亿元，年均增长</w:t>
      </w:r>
      <w:r>
        <w:rPr>
          <w:rFonts w:ascii="仿宋_GB2312" w:eastAsia="仿宋_GB2312" w:hAnsi="仿宋_GB2312" w:cs="仿宋_GB2312" w:hint="eastAsia"/>
          <w:color w:val="000000"/>
          <w:sz w:val="32"/>
          <w:szCs w:val="32"/>
        </w:rPr>
        <w:t>34.8</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。转型升级稳步推进，</w:t>
      </w:r>
      <w:r>
        <w:rPr>
          <w:rFonts w:ascii="仿宋_GB2312" w:eastAsia="仿宋_GB2312" w:hAnsi="仿宋_GB2312" w:cs="仿宋_GB2312" w:hint="eastAsia"/>
          <w:color w:val="000000"/>
          <w:sz w:val="32"/>
          <w:szCs w:val="32"/>
        </w:rPr>
        <w:t>2015</w:t>
      </w:r>
      <w:r>
        <w:rPr>
          <w:rFonts w:ascii="仿宋_GB2312" w:eastAsia="仿宋_GB2312" w:hAnsi="仿宋_GB2312" w:cs="仿宋_GB2312" w:hint="eastAsia"/>
          <w:color w:val="000000"/>
          <w:sz w:val="32"/>
          <w:szCs w:val="32"/>
        </w:rPr>
        <w:t>年，互联网服务业务收入超过</w:t>
      </w:r>
      <w:r>
        <w:rPr>
          <w:rFonts w:ascii="仿宋_GB2312" w:eastAsia="仿宋_GB2312" w:hAnsi="仿宋_GB2312" w:cs="仿宋_GB2312" w:hint="eastAsia"/>
          <w:color w:val="000000"/>
          <w:sz w:val="32"/>
          <w:szCs w:val="32"/>
        </w:rPr>
        <w:t>1</w:t>
      </w:r>
      <w:r>
        <w:rPr>
          <w:rFonts w:ascii="仿宋_GB2312" w:eastAsia="仿宋_GB2312" w:hAnsi="仿宋_GB2312" w:cs="仿宋_GB2312" w:hint="eastAsia"/>
          <w:color w:val="000000"/>
          <w:sz w:val="32"/>
          <w:szCs w:val="32"/>
        </w:rPr>
        <w:t>万亿元，占整体业务收入</w:t>
      </w:r>
      <w:r>
        <w:rPr>
          <w:rFonts w:ascii="仿宋_GB2312" w:eastAsia="仿宋_GB2312" w:hAnsi="仿宋_GB2312" w:cs="仿宋_GB2312" w:hint="eastAsia"/>
          <w:color w:val="000000"/>
          <w:sz w:val="32"/>
          <w:szCs w:val="32"/>
        </w:rPr>
        <w:t>57.7%</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b/>
          <w:color w:val="000000"/>
          <w:sz w:val="32"/>
          <w:szCs w:val="32"/>
        </w:rPr>
        <w:t>用户普及程度不断提高，消费结构不断升级。</w:t>
      </w:r>
      <w:r>
        <w:rPr>
          <w:rFonts w:ascii="仿宋_GB2312" w:eastAsia="仿宋_GB2312" w:hAnsi="仿宋_GB2312" w:cs="仿宋_GB2312" w:hint="eastAsia"/>
          <w:color w:val="000000"/>
          <w:sz w:val="32"/>
          <w:szCs w:val="32"/>
        </w:rPr>
        <w:t>2015</w:t>
      </w:r>
      <w:r>
        <w:rPr>
          <w:rFonts w:ascii="仿宋_GB2312" w:eastAsia="仿宋_GB2312" w:hAnsi="仿宋_GB2312" w:cs="仿宋_GB2312" w:hint="eastAsia"/>
          <w:color w:val="000000"/>
          <w:sz w:val="32"/>
          <w:szCs w:val="32"/>
        </w:rPr>
        <w:t>年，电话总数达到</w:t>
      </w:r>
      <w:r>
        <w:rPr>
          <w:rFonts w:ascii="仿宋_GB2312" w:eastAsia="仿宋_GB2312" w:hAnsi="仿宋_GB2312" w:cs="仿宋_GB2312" w:hint="eastAsia"/>
          <w:color w:val="000000"/>
          <w:sz w:val="32"/>
          <w:szCs w:val="32"/>
        </w:rPr>
        <w:t>15.4</w:t>
      </w:r>
      <w:r>
        <w:rPr>
          <w:rFonts w:ascii="仿宋_GB2312" w:eastAsia="仿宋_GB2312" w:hAnsi="仿宋_GB2312" w:cs="仿宋_GB2312" w:hint="eastAsia"/>
          <w:color w:val="000000"/>
          <w:sz w:val="32"/>
          <w:szCs w:val="32"/>
        </w:rPr>
        <w:t>亿户，其中移动电话达到</w:t>
      </w:r>
      <w:r>
        <w:rPr>
          <w:rFonts w:ascii="仿宋_GB2312" w:eastAsia="仿宋_GB2312" w:hAnsi="仿宋_GB2312" w:cs="仿宋_GB2312" w:hint="eastAsia"/>
          <w:color w:val="000000"/>
          <w:sz w:val="32"/>
          <w:szCs w:val="32"/>
        </w:rPr>
        <w:t>13</w:t>
      </w:r>
      <w:r>
        <w:rPr>
          <w:rFonts w:ascii="仿宋_GB2312" w:eastAsia="仿宋_GB2312" w:hAnsi="仿宋_GB2312" w:cs="仿宋_GB2312" w:hint="eastAsia"/>
          <w:color w:val="000000"/>
          <w:sz w:val="32"/>
          <w:szCs w:val="32"/>
        </w:rPr>
        <w:t>亿户、普及率达到</w:t>
      </w:r>
      <w:r>
        <w:rPr>
          <w:rFonts w:ascii="仿宋_GB2312" w:eastAsia="仿宋_GB2312" w:hAnsi="仿宋_GB2312" w:cs="仿宋_GB2312" w:hint="eastAsia"/>
          <w:color w:val="000000"/>
          <w:sz w:val="32"/>
          <w:szCs w:val="32"/>
        </w:rPr>
        <w:t>95.5</w:t>
      </w:r>
      <w:r>
        <w:rPr>
          <w:rFonts w:ascii="仿宋_GB2312" w:eastAsia="仿宋_GB2312" w:hAnsi="仿宋_GB2312" w:cs="仿宋_GB2312" w:hint="eastAsia"/>
          <w:color w:val="000000"/>
          <w:sz w:val="32"/>
          <w:szCs w:val="32"/>
        </w:rPr>
        <w:t>部</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百人，</w:t>
      </w:r>
      <w:r>
        <w:rPr>
          <w:rFonts w:ascii="仿宋_GB2312" w:eastAsia="仿宋_GB2312" w:hAnsi="仿宋_GB2312" w:cs="仿宋_GB2312" w:hint="eastAsia"/>
          <w:color w:val="000000"/>
          <w:sz w:val="32"/>
          <w:szCs w:val="32"/>
        </w:rPr>
        <w:t>3G</w:t>
      </w:r>
      <w:r>
        <w:rPr>
          <w:rFonts w:ascii="仿宋_GB2312" w:eastAsia="仿宋_GB2312" w:hAnsi="仿宋_GB2312" w:cs="仿宋_GB2312" w:hint="eastAsia"/>
          <w:color w:val="000000"/>
          <w:sz w:val="32"/>
          <w:szCs w:val="32"/>
        </w:rPr>
        <w:t>和</w:t>
      </w:r>
      <w:r>
        <w:rPr>
          <w:rFonts w:ascii="仿宋_GB2312" w:eastAsia="仿宋_GB2312" w:hAnsi="仿宋_GB2312" w:cs="仿宋_GB2312" w:hint="eastAsia"/>
          <w:color w:val="000000"/>
          <w:sz w:val="32"/>
          <w:szCs w:val="32"/>
        </w:rPr>
        <w:t>4G</w:t>
      </w:r>
      <w:r>
        <w:rPr>
          <w:rFonts w:ascii="仿宋_GB2312" w:eastAsia="仿宋_GB2312" w:hAnsi="仿宋_GB2312" w:cs="仿宋_GB2312" w:hint="eastAsia"/>
          <w:color w:val="000000"/>
          <w:sz w:val="32"/>
          <w:szCs w:val="32"/>
        </w:rPr>
        <w:t>用户占比达到</w:t>
      </w:r>
      <w:r>
        <w:rPr>
          <w:rFonts w:ascii="仿宋_GB2312" w:eastAsia="仿宋_GB2312" w:hAnsi="仿宋_GB2312" w:cs="仿宋_GB2312" w:hint="eastAsia"/>
          <w:color w:val="000000"/>
          <w:sz w:val="32"/>
          <w:szCs w:val="32"/>
        </w:rPr>
        <w:t>60%</w:t>
      </w:r>
      <w:r>
        <w:rPr>
          <w:rFonts w:ascii="仿宋_GB2312" w:eastAsia="仿宋_GB2312" w:hAnsi="仿宋_GB2312" w:cs="仿宋_GB2312" w:hint="eastAsia"/>
          <w:color w:val="000000"/>
          <w:sz w:val="32"/>
          <w:szCs w:val="32"/>
        </w:rPr>
        <w:t>；网民总数达到</w:t>
      </w:r>
      <w:r>
        <w:rPr>
          <w:rFonts w:ascii="仿宋_GB2312" w:eastAsia="仿宋_GB2312" w:hAnsi="仿宋_GB2312" w:cs="仿宋_GB2312" w:hint="eastAsia"/>
          <w:color w:val="000000"/>
          <w:sz w:val="32"/>
          <w:szCs w:val="32"/>
        </w:rPr>
        <w:t>6.88</w:t>
      </w:r>
      <w:r>
        <w:rPr>
          <w:rFonts w:ascii="仿宋_GB2312" w:eastAsia="仿宋_GB2312" w:hAnsi="仿宋_GB2312" w:cs="仿宋_GB2312" w:hint="eastAsia"/>
          <w:color w:val="000000"/>
          <w:sz w:val="32"/>
          <w:szCs w:val="32"/>
        </w:rPr>
        <w:t>亿人；移动宽带用户普及率达到</w:t>
      </w:r>
      <w:r>
        <w:rPr>
          <w:rFonts w:ascii="仿宋_GB2312" w:eastAsia="仿宋_GB2312" w:hAnsi="仿宋_GB2312" w:cs="仿宋_GB2312" w:hint="eastAsia"/>
          <w:color w:val="000000"/>
          <w:sz w:val="32"/>
          <w:szCs w:val="32"/>
        </w:rPr>
        <w:t>57%</w:t>
      </w:r>
      <w:r>
        <w:rPr>
          <w:rFonts w:ascii="仿宋_GB2312" w:eastAsia="仿宋_GB2312" w:hAnsi="仿宋_GB2312" w:cs="仿宋_GB2312" w:hint="eastAsia"/>
          <w:color w:val="000000"/>
          <w:sz w:val="32"/>
          <w:szCs w:val="32"/>
        </w:rPr>
        <w:t>，固定宽带家庭普及率达到</w:t>
      </w:r>
      <w:r>
        <w:rPr>
          <w:rFonts w:ascii="仿宋_GB2312" w:eastAsia="仿宋_GB2312" w:hAnsi="仿宋_GB2312" w:cs="仿宋_GB2312" w:hint="eastAsia"/>
          <w:color w:val="000000"/>
          <w:sz w:val="32"/>
          <w:szCs w:val="32"/>
        </w:rPr>
        <w:t>40%</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b/>
          <w:color w:val="000000"/>
          <w:sz w:val="32"/>
          <w:szCs w:val="32"/>
        </w:rPr>
        <w:t>信息通信基础设施不断完善，自主创新能力大幅提升。</w:t>
      </w:r>
      <w:r>
        <w:rPr>
          <w:rFonts w:ascii="仿宋_GB2312" w:eastAsia="仿宋_GB2312" w:hAnsi="仿宋_GB2312" w:cs="仿宋_GB2312" w:hint="eastAsia"/>
          <w:color w:val="000000"/>
          <w:sz w:val="32"/>
          <w:szCs w:val="32"/>
        </w:rPr>
        <w:t>城市地区</w:t>
      </w:r>
      <w:r>
        <w:rPr>
          <w:rFonts w:ascii="仿宋_GB2312" w:eastAsia="仿宋_GB2312" w:hAnsi="仿宋_GB2312" w:cs="仿宋_GB2312" w:hint="eastAsia"/>
          <w:color w:val="000000"/>
          <w:sz w:val="32"/>
          <w:szCs w:val="32"/>
        </w:rPr>
        <w:t>90%</w:t>
      </w:r>
      <w:r>
        <w:rPr>
          <w:rFonts w:ascii="仿宋_GB2312" w:eastAsia="仿宋_GB2312" w:hAnsi="仿宋_GB2312" w:cs="仿宋_GB2312" w:hint="eastAsia"/>
          <w:color w:val="000000"/>
          <w:sz w:val="32"/>
          <w:szCs w:val="32"/>
        </w:rPr>
        <w:t>以上家庭具备光纤接入能力，行政村通光缆比例超过</w:t>
      </w:r>
      <w:r>
        <w:rPr>
          <w:rFonts w:ascii="仿宋_GB2312" w:eastAsia="仿宋_GB2312" w:hAnsi="仿宋_GB2312" w:cs="仿宋_GB2312" w:hint="eastAsia"/>
          <w:color w:val="000000"/>
          <w:sz w:val="32"/>
          <w:szCs w:val="32"/>
        </w:rPr>
        <w:t>75%</w:t>
      </w:r>
      <w:r>
        <w:rPr>
          <w:rFonts w:ascii="仿宋_GB2312" w:eastAsia="仿宋_GB2312" w:hAnsi="仿宋_GB2312" w:cs="仿宋_GB2312" w:hint="eastAsia"/>
          <w:color w:val="000000"/>
          <w:sz w:val="32"/>
          <w:szCs w:val="32"/>
        </w:rPr>
        <w:t>。建</w:t>
      </w:r>
      <w:r>
        <w:rPr>
          <w:rFonts w:ascii="仿宋_GB2312" w:eastAsia="仿宋_GB2312" w:hAnsi="仿宋_GB2312" w:cs="仿宋_GB2312" w:hint="eastAsia"/>
          <w:color w:val="000000"/>
          <w:sz w:val="32"/>
          <w:szCs w:val="32"/>
        </w:rPr>
        <w:t>成全球最大</w:t>
      </w:r>
      <w:r>
        <w:rPr>
          <w:rFonts w:ascii="仿宋_GB2312" w:eastAsia="仿宋_GB2312" w:hAnsi="仿宋_GB2312" w:cs="仿宋_GB2312" w:hint="eastAsia"/>
          <w:color w:val="000000"/>
          <w:sz w:val="32"/>
          <w:szCs w:val="32"/>
        </w:rPr>
        <w:t>4G</w:t>
      </w:r>
      <w:r>
        <w:rPr>
          <w:rFonts w:ascii="仿宋_GB2312" w:eastAsia="仿宋_GB2312" w:hAnsi="仿宋_GB2312" w:cs="仿宋_GB2312" w:hint="eastAsia"/>
          <w:color w:val="000000"/>
          <w:sz w:val="32"/>
          <w:szCs w:val="32"/>
        </w:rPr>
        <w:t>网络，</w:t>
      </w:r>
      <w:r>
        <w:rPr>
          <w:rFonts w:ascii="仿宋_GB2312" w:eastAsia="仿宋_GB2312" w:hAnsi="仿宋_GB2312" w:cs="仿宋_GB2312" w:hint="eastAsia"/>
          <w:color w:val="000000"/>
          <w:sz w:val="32"/>
          <w:szCs w:val="32"/>
        </w:rPr>
        <w:t>4G</w:t>
      </w:r>
      <w:r>
        <w:rPr>
          <w:rFonts w:ascii="仿宋_GB2312" w:eastAsia="仿宋_GB2312" w:hAnsi="仿宋_GB2312" w:cs="仿宋_GB2312" w:hint="eastAsia"/>
          <w:color w:val="000000"/>
          <w:sz w:val="32"/>
          <w:szCs w:val="32"/>
        </w:rPr>
        <w:t>基站规模达到</w:t>
      </w:r>
      <w:r>
        <w:rPr>
          <w:rFonts w:ascii="仿宋_GB2312" w:eastAsia="仿宋_GB2312" w:hAnsi="仿宋_GB2312" w:cs="仿宋_GB2312" w:hint="eastAsia"/>
          <w:color w:val="000000"/>
          <w:sz w:val="32"/>
          <w:szCs w:val="32"/>
        </w:rPr>
        <w:t>177</w:t>
      </w:r>
      <w:r>
        <w:rPr>
          <w:rFonts w:ascii="仿宋_GB2312" w:eastAsia="仿宋_GB2312" w:hAnsi="仿宋_GB2312" w:cs="仿宋_GB2312" w:hint="eastAsia"/>
          <w:color w:val="000000"/>
          <w:sz w:val="32"/>
          <w:szCs w:val="32"/>
        </w:rPr>
        <w:t>万个，基本实现城市和县城连续覆盖。新增</w:t>
      </w:r>
      <w:r>
        <w:rPr>
          <w:rFonts w:ascii="仿宋_GB2312" w:eastAsia="仿宋_GB2312" w:hAnsi="仿宋_GB2312" w:cs="仿宋_GB2312" w:hint="eastAsia"/>
          <w:color w:val="000000"/>
          <w:sz w:val="32"/>
          <w:szCs w:val="32"/>
        </w:rPr>
        <w:t>7</w:t>
      </w:r>
      <w:r>
        <w:rPr>
          <w:rFonts w:ascii="仿宋_GB2312" w:eastAsia="仿宋_GB2312" w:hAnsi="仿宋_GB2312" w:cs="仿宋_GB2312" w:hint="eastAsia"/>
          <w:color w:val="000000"/>
          <w:sz w:val="32"/>
          <w:szCs w:val="32"/>
        </w:rPr>
        <w:t>个国家级互联网骨干直联点，互联网架构得到显著优化。“十二五”期末，跨境陆地光缆连通</w:t>
      </w:r>
      <w:r>
        <w:rPr>
          <w:rFonts w:ascii="仿宋_GB2312" w:eastAsia="仿宋_GB2312" w:hAnsi="仿宋_GB2312" w:cs="仿宋_GB2312" w:hint="eastAsia"/>
          <w:color w:val="000000"/>
          <w:sz w:val="32"/>
          <w:szCs w:val="32"/>
        </w:rPr>
        <w:t>11</w:t>
      </w:r>
      <w:r>
        <w:rPr>
          <w:rFonts w:ascii="仿宋_GB2312" w:eastAsia="仿宋_GB2312" w:hAnsi="仿宋_GB2312" w:cs="仿宋_GB2312" w:hint="eastAsia"/>
          <w:color w:val="000000"/>
          <w:sz w:val="32"/>
          <w:szCs w:val="32"/>
        </w:rPr>
        <w:t>个陆上邻国和地区，国际海缆直接延伸到</w:t>
      </w:r>
      <w:r>
        <w:rPr>
          <w:rFonts w:ascii="仿宋_GB2312" w:eastAsia="仿宋_GB2312" w:hAnsi="仿宋_GB2312" w:cs="仿宋_GB2312" w:hint="eastAsia"/>
          <w:color w:val="000000"/>
          <w:sz w:val="32"/>
          <w:szCs w:val="32"/>
        </w:rPr>
        <w:t>30</w:t>
      </w:r>
      <w:r>
        <w:rPr>
          <w:rFonts w:ascii="仿宋_GB2312" w:eastAsia="仿宋_GB2312" w:hAnsi="仿宋_GB2312" w:cs="仿宋_GB2312" w:hint="eastAsia"/>
          <w:color w:val="000000"/>
          <w:sz w:val="32"/>
          <w:szCs w:val="32"/>
        </w:rPr>
        <w:t>多个国家和地区，建成</w:t>
      </w:r>
      <w:r>
        <w:rPr>
          <w:rFonts w:ascii="仿宋_GB2312" w:eastAsia="仿宋_GB2312" w:hAnsi="仿宋_GB2312" w:cs="仿宋_GB2312" w:hint="eastAsia"/>
          <w:color w:val="000000"/>
          <w:sz w:val="32"/>
          <w:szCs w:val="32"/>
        </w:rPr>
        <w:t>8</w:t>
      </w:r>
      <w:r>
        <w:rPr>
          <w:rFonts w:ascii="仿宋_GB2312" w:eastAsia="仿宋_GB2312" w:hAnsi="仿宋_GB2312" w:cs="仿宋_GB2312" w:hint="eastAsia"/>
          <w:color w:val="000000"/>
          <w:sz w:val="32"/>
          <w:szCs w:val="32"/>
        </w:rPr>
        <w:t>个区域性国际通信业务出入口局，国际出入口业务带宽接近</w:t>
      </w:r>
      <w:r>
        <w:rPr>
          <w:rFonts w:ascii="仿宋_GB2312" w:eastAsia="仿宋_GB2312" w:hAnsi="仿宋_GB2312" w:cs="仿宋_GB2312" w:hint="eastAsia"/>
          <w:color w:val="000000"/>
          <w:sz w:val="32"/>
          <w:szCs w:val="32"/>
        </w:rPr>
        <w:t>3.8Tbps</w:t>
      </w:r>
      <w:r>
        <w:rPr>
          <w:rFonts w:ascii="仿宋_GB2312" w:eastAsia="仿宋_GB2312" w:hAnsi="仿宋_GB2312" w:cs="仿宋_GB2312" w:hint="eastAsia"/>
          <w:color w:val="000000"/>
          <w:sz w:val="32"/>
          <w:szCs w:val="32"/>
        </w:rPr>
        <w:t>。基础设施技术水平不断提升。光纤接入成为固定宽带主流接入技术。</w:t>
      </w:r>
      <w:r>
        <w:rPr>
          <w:rFonts w:ascii="仿宋_GB2312" w:eastAsia="仿宋_GB2312" w:hAnsi="仿宋_GB2312" w:cs="仿宋_GB2312" w:hint="eastAsia"/>
          <w:color w:val="000000"/>
          <w:sz w:val="32"/>
          <w:szCs w:val="32"/>
        </w:rPr>
        <w:t>TD-LTE</w:t>
      </w:r>
      <w:r>
        <w:rPr>
          <w:rFonts w:ascii="仿宋_GB2312" w:eastAsia="仿宋_GB2312" w:hAnsi="仿宋_GB2312" w:cs="仿宋_GB2312" w:hint="eastAsia"/>
          <w:color w:val="000000"/>
          <w:sz w:val="32"/>
          <w:szCs w:val="32"/>
        </w:rPr>
        <w:t>成为国际</w:t>
      </w:r>
      <w:r>
        <w:rPr>
          <w:rFonts w:ascii="仿宋_GB2312" w:eastAsia="仿宋_GB2312" w:hAnsi="仿宋_GB2312" w:cs="仿宋_GB2312" w:hint="eastAsia"/>
          <w:color w:val="000000"/>
          <w:sz w:val="32"/>
          <w:szCs w:val="32"/>
        </w:rPr>
        <w:t>4G</w:t>
      </w:r>
      <w:r>
        <w:rPr>
          <w:rFonts w:ascii="仿宋_GB2312" w:eastAsia="仿宋_GB2312" w:hAnsi="仿宋_GB2312" w:cs="仿宋_GB2312" w:hint="eastAsia"/>
          <w:color w:val="000000"/>
          <w:sz w:val="32"/>
          <w:szCs w:val="32"/>
        </w:rPr>
        <w:t>主流标准，形成完整产业链，国际化水平全面提升。</w:t>
      </w:r>
      <w:r>
        <w:rPr>
          <w:rFonts w:ascii="仿宋_GB2312" w:eastAsia="仿宋_GB2312" w:hAnsi="仿宋_GB2312" w:cs="仿宋_GB2312" w:hint="eastAsia"/>
          <w:color w:val="000000"/>
          <w:sz w:val="32"/>
          <w:szCs w:val="32"/>
        </w:rPr>
        <w:t>IPv6</w:t>
      </w:r>
      <w:r>
        <w:rPr>
          <w:rFonts w:ascii="仿宋_GB2312" w:eastAsia="仿宋_GB2312" w:hAnsi="仿宋_GB2312" w:cs="仿宋_GB2312" w:hint="eastAsia"/>
          <w:color w:val="000000"/>
          <w:sz w:val="32"/>
          <w:szCs w:val="32"/>
        </w:rPr>
        <w:t>改造不断推进</w:t>
      </w:r>
      <w:r>
        <w:rPr>
          <w:rFonts w:ascii="仿宋_GB2312" w:eastAsia="仿宋_GB2312" w:hAnsi="仿宋_GB2312" w:cs="仿宋_GB2312" w:hint="eastAsia"/>
          <w:color w:val="000000"/>
          <w:sz w:val="32"/>
          <w:szCs w:val="32"/>
          <w:shd w:val="clear" w:color="auto" w:fill="FFFFFF"/>
        </w:rPr>
        <w:t>。</w:t>
      </w:r>
      <w:r>
        <w:rPr>
          <w:rFonts w:ascii="仿宋_GB2312" w:eastAsia="仿宋_GB2312" w:hAnsi="仿宋_GB2312" w:cs="仿宋_GB2312" w:hint="eastAsia"/>
          <w:color w:val="000000"/>
          <w:sz w:val="32"/>
          <w:szCs w:val="32"/>
        </w:rPr>
        <w:t>节能</w:t>
      </w:r>
      <w:r>
        <w:rPr>
          <w:rFonts w:ascii="仿宋_GB2312" w:eastAsia="仿宋_GB2312" w:hAnsi="仿宋_GB2312" w:cs="仿宋_GB2312" w:hint="eastAsia"/>
          <w:color w:val="000000"/>
          <w:sz w:val="32"/>
          <w:szCs w:val="32"/>
        </w:rPr>
        <w:lastRenderedPageBreak/>
        <w:t>技术普遍应用，新建大型数据中心</w:t>
      </w:r>
      <w:r>
        <w:rPr>
          <w:rFonts w:ascii="仿宋_GB2312" w:eastAsia="仿宋_GB2312" w:hAnsi="仿宋_GB2312" w:cs="仿宋_GB2312" w:hint="eastAsia"/>
          <w:color w:val="000000"/>
          <w:sz w:val="32"/>
          <w:szCs w:val="32"/>
        </w:rPr>
        <w:t>PUE</w:t>
      </w:r>
      <w:r>
        <w:rPr>
          <w:rFonts w:ascii="仿宋_GB2312" w:eastAsia="仿宋_GB2312" w:hAnsi="仿宋_GB2312" w:cs="仿宋_GB2312" w:hint="eastAsia"/>
          <w:color w:val="000000"/>
          <w:sz w:val="32"/>
          <w:szCs w:val="32"/>
        </w:rPr>
        <w:t>值普遍低于</w:t>
      </w:r>
      <w:r>
        <w:rPr>
          <w:rFonts w:ascii="仿宋_GB2312" w:eastAsia="仿宋_GB2312" w:hAnsi="仿宋_GB2312" w:cs="仿宋_GB2312" w:hint="eastAsia"/>
          <w:color w:val="000000"/>
          <w:sz w:val="32"/>
          <w:szCs w:val="32"/>
        </w:rPr>
        <w:t>1.5</w:t>
      </w:r>
      <w:r>
        <w:rPr>
          <w:rFonts w:ascii="仿宋_GB2312" w:eastAsia="仿宋_GB2312" w:hAnsi="仿宋_GB2312" w:cs="仿宋_GB2312" w:hint="eastAsia"/>
          <w:color w:val="000000"/>
          <w:sz w:val="32"/>
          <w:szCs w:val="32"/>
        </w:rPr>
        <w:t>，单位</w:t>
      </w:r>
      <w:r>
        <w:rPr>
          <w:rFonts w:ascii="仿宋_GB2312" w:eastAsia="仿宋_GB2312" w:hAnsi="仿宋_GB2312" w:cs="仿宋_GB2312" w:hint="eastAsia"/>
          <w:color w:val="000000"/>
          <w:sz w:val="32"/>
          <w:szCs w:val="32"/>
        </w:rPr>
        <w:t>电信业务总量综合能耗下降</w:t>
      </w:r>
      <w:r>
        <w:rPr>
          <w:rFonts w:ascii="仿宋_GB2312" w:eastAsia="仿宋_GB2312" w:hAnsi="仿宋_GB2312" w:cs="仿宋_GB2312" w:hint="eastAsia"/>
          <w:color w:val="000000"/>
          <w:sz w:val="32"/>
          <w:szCs w:val="32"/>
        </w:rPr>
        <w:t>39.7%</w:t>
      </w:r>
      <w:r>
        <w:rPr>
          <w:rFonts w:ascii="仿宋_GB2312" w:eastAsia="仿宋_GB2312" w:hAnsi="仿宋_GB2312" w:cs="仿宋_GB2312" w:hint="eastAsia"/>
          <w:color w:val="000000"/>
          <w:sz w:val="32"/>
          <w:szCs w:val="32"/>
        </w:rPr>
        <w:t>。云计算与大数据关键技术和应用实现突破。物联网技术取得局部突破，</w:t>
      </w:r>
      <w:r>
        <w:rPr>
          <w:rFonts w:ascii="仿宋_GB2312" w:eastAsia="仿宋_GB2312" w:hAnsi="仿宋_GB2312" w:cs="仿宋_GB2312" w:hint="eastAsia"/>
          <w:color w:val="000000"/>
          <w:kern w:val="0"/>
          <w:sz w:val="32"/>
          <w:szCs w:val="32"/>
        </w:rPr>
        <w:t>在物联网架构、智能传感器、超高频</w:t>
      </w:r>
      <w:r>
        <w:rPr>
          <w:rFonts w:ascii="仿宋_GB2312" w:eastAsia="仿宋_GB2312" w:hAnsi="仿宋_GB2312" w:cs="仿宋_GB2312" w:hint="eastAsia"/>
          <w:color w:val="000000"/>
          <w:kern w:val="0"/>
          <w:sz w:val="32"/>
          <w:szCs w:val="32"/>
        </w:rPr>
        <w:t>RFID</w:t>
      </w:r>
      <w:r>
        <w:rPr>
          <w:rFonts w:ascii="仿宋_GB2312" w:eastAsia="仿宋_GB2312" w:hAnsi="仿宋_GB2312" w:cs="仿宋_GB2312" w:hint="eastAsia"/>
          <w:color w:val="000000"/>
          <w:kern w:val="0"/>
          <w:sz w:val="32"/>
          <w:szCs w:val="32"/>
        </w:rPr>
        <w:t>以及</w:t>
      </w:r>
      <w:r>
        <w:rPr>
          <w:rFonts w:ascii="仿宋_GB2312" w:eastAsia="仿宋_GB2312" w:hAnsi="仿宋_GB2312" w:cs="仿宋_GB2312" w:hint="eastAsia"/>
          <w:color w:val="000000"/>
          <w:kern w:val="0"/>
          <w:sz w:val="32"/>
          <w:szCs w:val="32"/>
        </w:rPr>
        <w:t>M2M</w:t>
      </w:r>
      <w:r>
        <w:rPr>
          <w:rFonts w:ascii="仿宋_GB2312" w:eastAsia="仿宋_GB2312" w:hAnsi="仿宋_GB2312" w:cs="仿宋_GB2312" w:hint="eastAsia"/>
          <w:color w:val="000000"/>
          <w:kern w:val="0"/>
          <w:sz w:val="32"/>
          <w:szCs w:val="32"/>
        </w:rPr>
        <w:t>增强技术方面</w:t>
      </w:r>
      <w:r>
        <w:rPr>
          <w:rFonts w:ascii="仿宋_GB2312" w:eastAsia="仿宋_GB2312" w:hAnsi="仿宋_GB2312" w:cs="仿宋_GB2312" w:hint="eastAsia"/>
          <w:color w:val="000000"/>
          <w:sz w:val="32"/>
          <w:szCs w:val="32"/>
        </w:rPr>
        <w:t>取得积极进展。</w:t>
      </w:r>
      <w:r>
        <w:rPr>
          <w:rFonts w:ascii="仿宋_GB2312" w:eastAsia="仿宋_GB2312" w:hAnsi="仿宋_GB2312" w:cs="仿宋_GB2312" w:hint="eastAsia"/>
          <w:b/>
          <w:color w:val="000000"/>
          <w:sz w:val="32"/>
          <w:szCs w:val="32"/>
        </w:rPr>
        <w:t>行业改革取得实质进展，市场活力进一步激发。</w:t>
      </w:r>
      <w:r>
        <w:rPr>
          <w:rFonts w:ascii="仿宋_GB2312" w:eastAsia="仿宋_GB2312" w:hAnsi="仿宋_GB2312" w:cs="仿宋_GB2312" w:hint="eastAsia"/>
          <w:color w:val="000000"/>
          <w:sz w:val="32"/>
          <w:szCs w:val="32"/>
        </w:rPr>
        <w:t>市场开放力度进一步加大。三网融合、移动转售、宽带接入网业务开放试点稳步推进，</w:t>
      </w:r>
      <w:r>
        <w:rPr>
          <w:rFonts w:ascii="仿宋_GB2312" w:eastAsia="仿宋_GB2312" w:hAnsi="仿宋_GB2312" w:cs="仿宋_GB2312" w:hint="eastAsia"/>
          <w:color w:val="000000"/>
          <w:sz w:val="32"/>
          <w:szCs w:val="32"/>
        </w:rPr>
        <w:t>IPTV</w:t>
      </w:r>
      <w:r>
        <w:rPr>
          <w:rFonts w:ascii="仿宋_GB2312" w:eastAsia="仿宋_GB2312" w:hAnsi="仿宋_GB2312" w:cs="仿宋_GB2312" w:hint="eastAsia"/>
          <w:color w:val="000000"/>
          <w:sz w:val="32"/>
          <w:szCs w:val="32"/>
        </w:rPr>
        <w:t>用户数达到</w:t>
      </w:r>
      <w:r>
        <w:rPr>
          <w:rFonts w:ascii="仿宋_GB2312" w:eastAsia="仿宋_GB2312" w:hAnsi="仿宋_GB2312" w:cs="仿宋_GB2312" w:hint="eastAsia"/>
          <w:color w:val="000000"/>
          <w:sz w:val="32"/>
          <w:szCs w:val="32"/>
        </w:rPr>
        <w:t>4589</w:t>
      </w:r>
      <w:r>
        <w:rPr>
          <w:rFonts w:ascii="仿宋_GB2312" w:eastAsia="仿宋_GB2312" w:hAnsi="仿宋_GB2312" w:cs="仿宋_GB2312" w:hint="eastAsia"/>
          <w:color w:val="000000"/>
          <w:sz w:val="32"/>
          <w:szCs w:val="32"/>
        </w:rPr>
        <w:t>万，</w:t>
      </w:r>
      <w:r>
        <w:rPr>
          <w:rFonts w:ascii="仿宋_GB2312" w:eastAsia="仿宋_GB2312" w:hAnsi="仿宋_GB2312" w:cs="仿宋_GB2312" w:hint="eastAsia"/>
          <w:color w:val="000000"/>
          <w:sz w:val="32"/>
          <w:szCs w:val="32"/>
        </w:rPr>
        <w:t>42</w:t>
      </w:r>
      <w:r>
        <w:rPr>
          <w:rFonts w:ascii="仿宋_GB2312" w:eastAsia="仿宋_GB2312" w:hAnsi="仿宋_GB2312" w:cs="仿宋_GB2312" w:hint="eastAsia"/>
          <w:color w:val="000000"/>
          <w:sz w:val="32"/>
          <w:szCs w:val="32"/>
        </w:rPr>
        <w:t>家民营企业获得移动通信转售业务批文、发展用户</w:t>
      </w:r>
      <w:r>
        <w:rPr>
          <w:rFonts w:ascii="仿宋_GB2312" w:eastAsia="仿宋_GB2312" w:hAnsi="仿宋_GB2312" w:cs="仿宋_GB2312" w:hint="eastAsia"/>
          <w:color w:val="000000"/>
          <w:sz w:val="32"/>
          <w:szCs w:val="32"/>
        </w:rPr>
        <w:t>2059</w:t>
      </w:r>
      <w:r>
        <w:rPr>
          <w:rFonts w:ascii="仿宋_GB2312" w:eastAsia="仿宋_GB2312" w:hAnsi="仿宋_GB2312" w:cs="仿宋_GB2312" w:hint="eastAsia"/>
          <w:color w:val="000000"/>
          <w:sz w:val="32"/>
          <w:szCs w:val="32"/>
        </w:rPr>
        <w:t>万，</w:t>
      </w:r>
      <w:r>
        <w:rPr>
          <w:rFonts w:ascii="仿宋_GB2312" w:eastAsia="仿宋_GB2312" w:hAnsi="仿宋_GB2312" w:cs="仿宋_GB2312" w:hint="eastAsia"/>
          <w:color w:val="000000"/>
          <w:sz w:val="32"/>
          <w:szCs w:val="32"/>
        </w:rPr>
        <w:t>61</w:t>
      </w:r>
      <w:r>
        <w:rPr>
          <w:rFonts w:ascii="仿宋_GB2312" w:eastAsia="仿宋_GB2312" w:hAnsi="仿宋_GB2312" w:cs="仿宋_GB2312" w:hint="eastAsia"/>
          <w:color w:val="000000"/>
          <w:sz w:val="32"/>
          <w:szCs w:val="32"/>
        </w:rPr>
        <w:t>个试点城市</w:t>
      </w:r>
      <w:r>
        <w:rPr>
          <w:rFonts w:ascii="仿宋_GB2312" w:eastAsia="仿宋_GB2312" w:hAnsi="仿宋_GB2312" w:cs="仿宋_GB2312" w:hint="eastAsia"/>
          <w:color w:val="000000"/>
          <w:sz w:val="32"/>
          <w:szCs w:val="32"/>
        </w:rPr>
        <w:t>138</w:t>
      </w:r>
      <w:r>
        <w:rPr>
          <w:rFonts w:ascii="仿宋_GB2312" w:eastAsia="仿宋_GB2312" w:hAnsi="仿宋_GB2312" w:cs="仿宋_GB2312" w:hint="eastAsia"/>
          <w:color w:val="000000"/>
          <w:sz w:val="32"/>
          <w:szCs w:val="32"/>
        </w:rPr>
        <w:t>家（次）民营企业获得宽带接入网业务试点批文。中国铁塔公司成立，电信基础设施共建共享迈向新高度，通过共建共享减少</w:t>
      </w:r>
      <w:r>
        <w:rPr>
          <w:rFonts w:ascii="仿宋_GB2312" w:eastAsia="仿宋_GB2312" w:hAnsi="仿宋_GB2312" w:cs="仿宋_GB2312" w:hint="eastAsia"/>
          <w:color w:val="000000"/>
          <w:sz w:val="32"/>
          <w:szCs w:val="32"/>
        </w:rPr>
        <w:t>新建铁塔数量</w:t>
      </w:r>
      <w:r>
        <w:rPr>
          <w:rFonts w:ascii="仿宋_GB2312" w:eastAsia="仿宋_GB2312" w:hAnsi="仿宋_GB2312" w:cs="仿宋_GB2312" w:hint="eastAsia"/>
          <w:color w:val="000000"/>
          <w:sz w:val="32"/>
          <w:szCs w:val="32"/>
        </w:rPr>
        <w:t>19.8</w:t>
      </w:r>
      <w:r>
        <w:rPr>
          <w:rFonts w:ascii="仿宋_GB2312" w:eastAsia="仿宋_GB2312" w:hAnsi="仿宋_GB2312" w:cs="仿宋_GB2312" w:hint="eastAsia"/>
          <w:color w:val="000000"/>
          <w:sz w:val="32"/>
          <w:szCs w:val="32"/>
        </w:rPr>
        <w:t>万个。电信普遍服务补偿机制取得实质性进展。多项改革举措给行业发展注入新的发展动力。</w:t>
      </w:r>
      <w:r>
        <w:rPr>
          <w:rFonts w:ascii="仿宋_GB2312" w:eastAsia="仿宋_GB2312" w:hAnsi="仿宋_GB2312" w:cs="仿宋_GB2312" w:hint="eastAsia"/>
          <w:b/>
          <w:color w:val="000000"/>
          <w:sz w:val="32"/>
          <w:szCs w:val="32"/>
        </w:rPr>
        <w:t>互联网企业国际影响力迅速增强，网络经济蓬勃发展。</w:t>
      </w:r>
      <w:r>
        <w:rPr>
          <w:rFonts w:ascii="仿宋_GB2312" w:eastAsia="仿宋_GB2312" w:hAnsi="仿宋_GB2312" w:cs="仿宋_GB2312" w:hint="eastAsia"/>
          <w:color w:val="000000"/>
          <w:sz w:val="32"/>
          <w:szCs w:val="32"/>
        </w:rPr>
        <w:t>我国已成为全球互联网第二大力量，</w:t>
      </w:r>
      <w:r>
        <w:rPr>
          <w:rFonts w:ascii="仿宋_GB2312" w:eastAsia="仿宋_GB2312" w:hAnsi="仿宋_GB2312" w:cs="仿宋_GB2312" w:hint="eastAsia"/>
          <w:color w:val="000000"/>
          <w:sz w:val="32"/>
          <w:szCs w:val="32"/>
        </w:rPr>
        <w:t>10</w:t>
      </w:r>
      <w:r>
        <w:rPr>
          <w:rFonts w:ascii="仿宋_GB2312" w:eastAsia="仿宋_GB2312" w:hAnsi="仿宋_GB2312" w:cs="仿宋_GB2312" w:hint="eastAsia"/>
          <w:color w:val="000000"/>
          <w:sz w:val="32"/>
          <w:szCs w:val="32"/>
        </w:rPr>
        <w:t>家企业进入全球互联网企业市值前</w:t>
      </w:r>
      <w:r>
        <w:rPr>
          <w:rFonts w:ascii="仿宋_GB2312" w:eastAsia="仿宋_GB2312" w:hAnsi="仿宋_GB2312" w:cs="仿宋_GB2312" w:hint="eastAsia"/>
          <w:color w:val="000000"/>
          <w:sz w:val="32"/>
          <w:szCs w:val="32"/>
        </w:rPr>
        <w:t>30</w:t>
      </w:r>
      <w:r>
        <w:rPr>
          <w:rFonts w:ascii="仿宋_GB2312" w:eastAsia="仿宋_GB2312" w:hAnsi="仿宋_GB2312" w:cs="仿宋_GB2312" w:hint="eastAsia"/>
          <w:color w:val="000000"/>
          <w:sz w:val="32"/>
          <w:szCs w:val="32"/>
        </w:rPr>
        <w:t>名，</w:t>
      </w:r>
      <w:r>
        <w:rPr>
          <w:rFonts w:ascii="仿宋_GB2312" w:eastAsia="仿宋_GB2312" w:hAnsi="仿宋_GB2312" w:cs="仿宋_GB2312" w:hint="eastAsia"/>
          <w:color w:val="000000"/>
          <w:sz w:val="32"/>
          <w:szCs w:val="32"/>
        </w:rPr>
        <w:t>4</w:t>
      </w:r>
      <w:r>
        <w:rPr>
          <w:rFonts w:ascii="仿宋_GB2312" w:eastAsia="仿宋_GB2312" w:hAnsi="仿宋_GB2312" w:cs="仿宋_GB2312" w:hint="eastAsia"/>
          <w:color w:val="000000"/>
          <w:sz w:val="32"/>
          <w:szCs w:val="32"/>
        </w:rPr>
        <w:t>家企业进入前</w:t>
      </w:r>
      <w:r>
        <w:rPr>
          <w:rFonts w:ascii="仿宋_GB2312" w:eastAsia="仿宋_GB2312" w:hAnsi="仿宋_GB2312" w:cs="仿宋_GB2312" w:hint="eastAsia"/>
          <w:color w:val="000000"/>
          <w:sz w:val="32"/>
          <w:szCs w:val="32"/>
        </w:rPr>
        <w:t>10</w:t>
      </w:r>
      <w:r>
        <w:rPr>
          <w:rFonts w:ascii="仿宋_GB2312" w:eastAsia="仿宋_GB2312" w:hAnsi="仿宋_GB2312" w:cs="仿宋_GB2312" w:hint="eastAsia"/>
          <w:color w:val="000000"/>
          <w:sz w:val="32"/>
          <w:szCs w:val="32"/>
        </w:rPr>
        <w:t>名。互联网和信息技术在各经济领域进一步深化应用，成为两化深度融合和传统产业转型升级的重要推动力。</w:t>
      </w:r>
      <w:r>
        <w:rPr>
          <w:rFonts w:ascii="仿宋_GB2312" w:eastAsia="仿宋_GB2312" w:hAnsi="仿宋_GB2312" w:cs="仿宋_GB2312" w:hint="eastAsia"/>
          <w:color w:val="000000"/>
          <w:sz w:val="32"/>
          <w:szCs w:val="32"/>
        </w:rPr>
        <w:t>2015</w:t>
      </w:r>
      <w:r>
        <w:rPr>
          <w:rFonts w:ascii="仿宋_GB2312" w:eastAsia="仿宋_GB2312" w:hAnsi="仿宋_GB2312" w:cs="仿宋_GB2312" w:hint="eastAsia"/>
          <w:color w:val="000000"/>
          <w:sz w:val="32"/>
          <w:szCs w:val="32"/>
        </w:rPr>
        <w:t>年，电子商务交易额达</w:t>
      </w:r>
      <w:r>
        <w:rPr>
          <w:rFonts w:ascii="仿宋_GB2312" w:eastAsia="仿宋_GB2312" w:hAnsi="仿宋_GB2312" w:cs="仿宋_GB2312" w:hint="eastAsia"/>
          <w:color w:val="000000"/>
          <w:sz w:val="32"/>
          <w:szCs w:val="32"/>
        </w:rPr>
        <w:t>20.8</w:t>
      </w:r>
      <w:r>
        <w:rPr>
          <w:rFonts w:ascii="仿宋_GB2312" w:eastAsia="仿宋_GB2312" w:hAnsi="仿宋_GB2312" w:cs="仿宋_GB2312" w:hint="eastAsia"/>
          <w:color w:val="000000"/>
          <w:sz w:val="32"/>
          <w:szCs w:val="32"/>
        </w:rPr>
        <w:t>万亿元。大型企业纷纷建立开放平台，成为带动大众创业、万众创新的新渠道。物联网</w:t>
      </w:r>
      <w:r>
        <w:rPr>
          <w:rFonts w:ascii="仿宋_GB2312" w:eastAsia="仿宋_GB2312" w:hAnsi="仿宋_GB2312" w:cs="仿宋_GB2312" w:hint="eastAsia"/>
          <w:color w:val="000000"/>
          <w:kern w:val="0"/>
          <w:sz w:val="32"/>
          <w:szCs w:val="32"/>
        </w:rPr>
        <w:t>在经济社会各个领域及智慧城市建设中的应用创新空前活跃，我国已成</w:t>
      </w:r>
      <w:r>
        <w:rPr>
          <w:rFonts w:ascii="仿宋_GB2312" w:eastAsia="仿宋_GB2312" w:hAnsi="仿宋_GB2312" w:cs="仿宋_GB2312" w:hint="eastAsia"/>
          <w:color w:val="000000"/>
          <w:kern w:val="0"/>
          <w:sz w:val="32"/>
          <w:szCs w:val="32"/>
        </w:rPr>
        <w:t>为全球最大机器通信（</w:t>
      </w:r>
      <w:r>
        <w:rPr>
          <w:rFonts w:ascii="仿宋_GB2312" w:eastAsia="仿宋_GB2312" w:hAnsi="仿宋_GB2312" w:cs="仿宋_GB2312" w:hint="eastAsia"/>
          <w:color w:val="000000"/>
          <w:kern w:val="0"/>
          <w:sz w:val="32"/>
          <w:szCs w:val="32"/>
        </w:rPr>
        <w:t>M2M</w:t>
      </w:r>
      <w:r>
        <w:rPr>
          <w:rFonts w:ascii="仿宋_GB2312" w:eastAsia="仿宋_GB2312" w:hAnsi="仿宋_GB2312" w:cs="仿宋_GB2312" w:hint="eastAsia"/>
          <w:color w:val="000000"/>
          <w:kern w:val="0"/>
          <w:sz w:val="32"/>
          <w:szCs w:val="32"/>
        </w:rPr>
        <w:t>）市场，通过公众网络实现的</w:t>
      </w:r>
      <w:r>
        <w:rPr>
          <w:rFonts w:ascii="仿宋_GB2312" w:eastAsia="仿宋_GB2312" w:hAnsi="仿宋_GB2312" w:cs="仿宋_GB2312" w:hint="eastAsia"/>
          <w:color w:val="000000"/>
          <w:kern w:val="0"/>
          <w:sz w:val="32"/>
          <w:szCs w:val="32"/>
        </w:rPr>
        <w:t>M2M</w:t>
      </w:r>
      <w:r>
        <w:rPr>
          <w:rFonts w:ascii="仿宋_GB2312" w:eastAsia="仿宋_GB2312" w:hAnsi="仿宋_GB2312" w:cs="仿宋_GB2312" w:hint="eastAsia"/>
          <w:color w:val="000000"/>
          <w:kern w:val="0"/>
          <w:sz w:val="32"/>
          <w:szCs w:val="32"/>
        </w:rPr>
        <w:t>连接数突破</w:t>
      </w:r>
      <w:r>
        <w:rPr>
          <w:rFonts w:ascii="仿宋_GB2312" w:eastAsia="仿宋_GB2312" w:hAnsi="仿宋_GB2312" w:cs="仿宋_GB2312" w:hint="eastAsia"/>
          <w:color w:val="000000"/>
          <w:kern w:val="0"/>
          <w:sz w:val="32"/>
          <w:szCs w:val="32"/>
        </w:rPr>
        <w:t>1</w:t>
      </w:r>
      <w:r>
        <w:rPr>
          <w:rFonts w:ascii="仿宋_GB2312" w:eastAsia="仿宋_GB2312" w:hAnsi="仿宋_GB2312" w:cs="仿宋_GB2312" w:hint="eastAsia"/>
          <w:color w:val="000000"/>
          <w:kern w:val="0"/>
          <w:sz w:val="32"/>
          <w:szCs w:val="32"/>
        </w:rPr>
        <w:t>亿。</w:t>
      </w:r>
      <w:r>
        <w:rPr>
          <w:rFonts w:ascii="仿宋_GB2312" w:eastAsia="仿宋_GB2312" w:hAnsi="仿宋_GB2312" w:cs="仿宋_GB2312" w:hint="eastAsia"/>
          <w:b/>
          <w:bCs/>
          <w:color w:val="000000"/>
          <w:sz w:val="32"/>
          <w:szCs w:val="32"/>
        </w:rPr>
        <w:t>行业管理不断完善，安全和应急保障能力不断提升。</w:t>
      </w:r>
      <w:r>
        <w:rPr>
          <w:rFonts w:ascii="仿宋_GB2312" w:eastAsia="仿宋_GB2312" w:hAnsi="仿宋_GB2312" w:cs="仿宋_GB2312" w:hint="eastAsia"/>
          <w:color w:val="000000"/>
          <w:kern w:val="0"/>
          <w:sz w:val="32"/>
          <w:szCs w:val="32"/>
        </w:rPr>
        <w:lastRenderedPageBreak/>
        <w:t>行业管理重心逐步向互联网转移。部省及跨省协调机制逐步完善。电信服务质量进一步提升，网络环境治理工作体系逐步形成。用户权益得到切实保障，个人信息保护力度进一步加大。网络和信息安全监管体系建设成效明显，网络和信息安全技术保障体系基本建立，网络安全防护和应急处置能力显著提升，完成多项突发事件和重大活动的保障工作。出台通信设施保护标准及相关法规，安全生产态势稳中向好。</w:t>
      </w:r>
    </w:p>
    <w:p w:rsidR="00DA02B9" w:rsidRDefault="003229D3">
      <w:pPr>
        <w:widowControl/>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我国信息通信业“十二五”期间取得了显著成就，但还存在一些突出问题。一是城乡信息通信基础设施和应用等方面的“数字鸿沟”依然存在，部分人均网络资源和应用水平指标与发达国家仍有较大差距。二是行业法制法规体系及监管机制体制不能完全适应新技术新业务快速发展的要求。三是信息通信领域部分核心技术较为薄弱，关键产品的安全可控性尚待提升。四是信息通信技术与传统产业的融合程度不够，互联网在应用水平方面的价值还有待进一步挖掘。这些不足和困难都需要在“十三五”期间补齐短板，努力突破。</w:t>
      </w:r>
    </w:p>
    <w:p w:rsidR="00DA02B9" w:rsidRDefault="003229D3">
      <w:pPr>
        <w:pStyle w:val="2"/>
        <w:spacing w:before="0" w:after="0" w:line="240" w:lineRule="auto"/>
        <w:ind w:left="640"/>
        <w:rPr>
          <w:rFonts w:ascii="楷体_GB2312" w:eastAsia="楷体_GB2312" w:hAnsi="楷体_GB2312" w:cs="楷体_GB2312"/>
          <w:bCs w:val="0"/>
          <w:color w:val="000000"/>
        </w:rPr>
      </w:pPr>
      <w:bookmarkStart w:id="7" w:name="_Toc448130269"/>
      <w:bookmarkStart w:id="8" w:name="_Toc10934"/>
      <w:bookmarkStart w:id="9" w:name="_Toc24672"/>
      <w:bookmarkStart w:id="10" w:name="_Toc7383"/>
      <w:bookmarkStart w:id="11" w:name="_Toc451533427"/>
      <w:bookmarkStart w:id="12" w:name="_Toc452557637"/>
      <w:bookmarkStart w:id="13" w:name="_Toc448845017"/>
      <w:bookmarkEnd w:id="7"/>
      <w:r>
        <w:rPr>
          <w:rFonts w:ascii="楷体_GB2312" w:eastAsia="楷体_GB2312" w:hAnsi="楷体_GB2312" w:cs="楷体_GB2312" w:hint="eastAsia"/>
          <w:bCs w:val="0"/>
          <w:color w:val="000000"/>
        </w:rPr>
        <w:t>（二）“十三五”面临形势</w:t>
      </w:r>
      <w:bookmarkEnd w:id="8"/>
      <w:bookmarkEnd w:id="9"/>
      <w:bookmarkEnd w:id="10"/>
      <w:bookmarkEnd w:id="11"/>
      <w:bookmarkEnd w:id="12"/>
      <w:bookmarkEnd w:id="13"/>
    </w:p>
    <w:p w:rsidR="00DA02B9" w:rsidRDefault="003229D3">
      <w:pPr>
        <w:widowControl/>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“十三五”时期是全面</w:t>
      </w:r>
      <w:r>
        <w:rPr>
          <w:rFonts w:ascii="仿宋_GB2312" w:eastAsia="仿宋_GB2312" w:hAnsi="仿宋_GB2312" w:cs="仿宋_GB2312" w:hint="eastAsia"/>
          <w:color w:val="000000"/>
          <w:kern w:val="0"/>
          <w:sz w:val="32"/>
          <w:szCs w:val="32"/>
        </w:rPr>
        <w:t>建成小康社会的决胜阶段，也是建设网络强国的重要战略机遇期。行业快速创新发展的基本态势没有改变，发展前景依然广阔，但拓展服务范围和领域、推动转型升级的要求更加紧迫，发展、管理、安全问题交织，面临更为复杂的挑战。</w:t>
      </w:r>
    </w:p>
    <w:p w:rsidR="00DA02B9" w:rsidRDefault="003229D3">
      <w:pPr>
        <w:widowControl/>
        <w:shd w:val="clear" w:color="auto" w:fill="FFFFFF"/>
        <w:ind w:firstLineChars="196" w:firstLine="630"/>
        <w:rPr>
          <w:rFonts w:ascii="仿宋_GB2312" w:eastAsia="仿宋_GB2312" w:hAnsi="仿宋_GB2312" w:cs="仿宋_GB2312"/>
          <w:color w:val="000000"/>
          <w:kern w:val="0"/>
          <w:szCs w:val="21"/>
        </w:rPr>
      </w:pPr>
      <w:r>
        <w:rPr>
          <w:rFonts w:ascii="仿宋_GB2312" w:eastAsia="仿宋_GB2312" w:hAnsi="仿宋_GB2312" w:cs="仿宋_GB2312" w:hint="eastAsia"/>
          <w:b/>
          <w:bCs/>
          <w:color w:val="000000"/>
          <w:kern w:val="0"/>
          <w:sz w:val="32"/>
          <w:szCs w:val="32"/>
        </w:rPr>
        <w:lastRenderedPageBreak/>
        <w:t>国际竞争面临新局面。</w:t>
      </w:r>
      <w:r>
        <w:rPr>
          <w:rFonts w:ascii="仿宋_GB2312" w:eastAsia="仿宋_GB2312" w:hAnsi="仿宋_GB2312" w:cs="仿宋_GB2312" w:hint="eastAsia"/>
          <w:color w:val="000000"/>
          <w:kern w:val="0"/>
          <w:sz w:val="32"/>
          <w:szCs w:val="32"/>
        </w:rPr>
        <w:t>“十三五”期间，信息通信领域成为全球竞争的焦点，并从技术竞争逐步演进到以互联网产业体系为核心，以网络治理、标准制订、规则主导、产业影响为重点的体系化竞争，表现形式更加复杂，随着移动互联网、物联网、云计算、大数据等技术与应用的发展，国际规则、标准体系、资源分配面临调整变化。“十三五”</w:t>
      </w:r>
      <w:r>
        <w:rPr>
          <w:rFonts w:ascii="仿宋_GB2312" w:eastAsia="仿宋_GB2312" w:hAnsi="仿宋_GB2312" w:cs="仿宋_GB2312" w:hint="eastAsia"/>
          <w:color w:val="000000"/>
          <w:kern w:val="0"/>
          <w:sz w:val="32"/>
          <w:szCs w:val="32"/>
        </w:rPr>
        <w:t>期间，信息通信业应抓住重要技术迭代期和新兴业态启动窗口期的机遇，超前布局信息通信前沿技术，打造完备的产业链，培育具有全球影响力的企业，积极参与国际规则博弈，增强国际话语权。</w:t>
      </w:r>
    </w:p>
    <w:p w:rsidR="00DA02B9" w:rsidRDefault="003229D3">
      <w:pPr>
        <w:widowControl/>
        <w:shd w:val="clear" w:color="auto" w:fill="FFFFFF"/>
        <w:ind w:firstLineChars="196" w:firstLine="630"/>
        <w:rPr>
          <w:rFonts w:ascii="仿宋_GB2312" w:eastAsia="仿宋_GB2312" w:hAnsi="仿宋_GB2312" w:cs="仿宋_GB2312"/>
          <w:color w:val="000000"/>
          <w:kern w:val="0"/>
          <w:szCs w:val="21"/>
        </w:rPr>
      </w:pPr>
      <w:r>
        <w:rPr>
          <w:rFonts w:ascii="仿宋_GB2312" w:eastAsia="仿宋_GB2312" w:hAnsi="仿宋_GB2312" w:cs="仿宋_GB2312" w:hint="eastAsia"/>
          <w:b/>
          <w:bCs/>
          <w:color w:val="000000"/>
          <w:kern w:val="0"/>
          <w:sz w:val="32"/>
          <w:szCs w:val="32"/>
        </w:rPr>
        <w:t>网络经济拓展行业发展新空间。</w:t>
      </w:r>
      <w:r>
        <w:rPr>
          <w:rFonts w:ascii="仿宋_GB2312" w:eastAsia="仿宋_GB2312" w:hAnsi="仿宋_GB2312" w:cs="仿宋_GB2312" w:hint="eastAsia"/>
          <w:color w:val="000000"/>
          <w:kern w:val="0"/>
          <w:sz w:val="32"/>
          <w:szCs w:val="32"/>
        </w:rPr>
        <w:t>“十三五”期间，国内经济向形态更高级、分工更优化、结构更合理阶段演进的趋势更加明显。中央全面深化改革的系统性部署将激发出新的发展活力。中国制造</w:t>
      </w:r>
      <w:r>
        <w:rPr>
          <w:rFonts w:ascii="仿宋_GB2312" w:eastAsia="仿宋_GB2312" w:hAnsi="仿宋_GB2312" w:cs="仿宋_GB2312" w:hint="eastAsia"/>
          <w:color w:val="000000"/>
          <w:kern w:val="0"/>
          <w:sz w:val="32"/>
          <w:szCs w:val="32"/>
        </w:rPr>
        <w:t>2025</w:t>
      </w:r>
      <w:r>
        <w:rPr>
          <w:rFonts w:ascii="仿宋_GB2312" w:eastAsia="仿宋_GB2312" w:hAnsi="仿宋_GB2312" w:cs="仿宋_GB2312" w:hint="eastAsia"/>
          <w:color w:val="000000"/>
          <w:kern w:val="0"/>
          <w:sz w:val="32"/>
          <w:szCs w:val="32"/>
        </w:rPr>
        <w:t>、“互联网</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hint="eastAsia"/>
          <w:color w:val="000000"/>
          <w:kern w:val="0"/>
          <w:sz w:val="32"/>
          <w:szCs w:val="32"/>
        </w:rPr>
        <w:t>”等一系列战略、规划的提出为信息通信业拓展新领域、支撑传统产业改造升级提供了广阔的发展空间。“十三五”期间，信息通信业应以更加开放务实的姿态主动加强</w:t>
      </w:r>
      <w:r>
        <w:rPr>
          <w:rFonts w:ascii="仿宋_GB2312" w:eastAsia="仿宋_GB2312" w:hAnsi="仿宋_GB2312" w:cs="仿宋_GB2312" w:hint="eastAsia"/>
          <w:color w:val="000000"/>
          <w:kern w:val="0"/>
          <w:sz w:val="32"/>
          <w:szCs w:val="32"/>
        </w:rPr>
        <w:t>与相关产业的互动，发展壮大现代互联网产业体系，加快推动信息经济发展壮大，着力在发挥基础性作用、挖掘基础设施应用潜力、补齐行业短板等方面取得突破，切实提高发展质量和效益，支撑信息社会发展。</w:t>
      </w:r>
    </w:p>
    <w:p w:rsidR="00DA02B9" w:rsidRDefault="003229D3">
      <w:pPr>
        <w:widowControl/>
        <w:shd w:val="clear" w:color="auto" w:fill="FFFFFF"/>
        <w:ind w:firstLineChars="196" w:firstLine="630"/>
        <w:rPr>
          <w:rFonts w:ascii="仿宋_GB2312" w:eastAsia="仿宋_GB2312" w:hAnsi="仿宋_GB2312" w:cs="仿宋_GB2312"/>
          <w:color w:val="000000"/>
          <w:kern w:val="0"/>
          <w:sz w:val="32"/>
          <w:szCs w:val="32"/>
        </w:rPr>
      </w:pPr>
      <w:r>
        <w:rPr>
          <w:rFonts w:ascii="仿宋_GB2312" w:eastAsia="仿宋_GB2312" w:hAnsi="仿宋_GB2312" w:cs="仿宋_GB2312" w:hint="eastAsia"/>
          <w:b/>
          <w:bCs/>
          <w:color w:val="000000"/>
          <w:kern w:val="0"/>
          <w:sz w:val="32"/>
          <w:szCs w:val="32"/>
        </w:rPr>
        <w:lastRenderedPageBreak/>
        <w:t>行业管理进入新阶段。</w:t>
      </w:r>
      <w:r>
        <w:rPr>
          <w:rFonts w:ascii="仿宋_GB2312" w:eastAsia="仿宋_GB2312" w:hAnsi="仿宋_GB2312" w:cs="仿宋_GB2312" w:hint="eastAsia"/>
          <w:color w:val="000000"/>
          <w:kern w:val="0"/>
          <w:sz w:val="32"/>
          <w:szCs w:val="32"/>
        </w:rPr>
        <w:t>“十三五”期间，</w:t>
      </w:r>
      <w:r>
        <w:rPr>
          <w:rFonts w:ascii="仿宋_GB2312" w:eastAsia="仿宋_GB2312" w:hAnsi="仿宋_GB2312" w:cs="仿宋_GB2312" w:hint="eastAsia"/>
          <w:color w:val="000000"/>
          <w:sz w:val="32"/>
          <w:szCs w:val="32"/>
          <w:shd w:val="clear" w:color="auto" w:fill="FFFFFF"/>
        </w:rPr>
        <w:t>基于互联网的跨界融合发展趋势</w:t>
      </w:r>
      <w:r>
        <w:rPr>
          <w:rFonts w:ascii="仿宋_GB2312" w:eastAsia="仿宋_GB2312" w:hAnsi="仿宋_GB2312" w:cs="仿宋_GB2312" w:hint="eastAsia"/>
          <w:color w:val="000000"/>
          <w:kern w:val="0"/>
          <w:sz w:val="32"/>
          <w:szCs w:val="32"/>
        </w:rPr>
        <w:t>将给行业管理带来新挑战。融合监管、协同共治成为新的管理趋势，引导市场良性竞争、促进融合创新业务健康发展、保护用户合法权益、保障网络信息安全、建立规范包容的管理环境成为行业管理重要内容。“十三五”期间，行业管理要主动纳入国家宏观政策框架中，把握行业技术、业务发展</w:t>
      </w:r>
      <w:r>
        <w:rPr>
          <w:rFonts w:ascii="仿宋_GB2312" w:eastAsia="仿宋_GB2312" w:hAnsi="仿宋_GB2312" w:cs="仿宋_GB2312" w:hint="eastAsia"/>
          <w:color w:val="000000"/>
          <w:kern w:val="0"/>
          <w:sz w:val="32"/>
          <w:szCs w:val="32"/>
        </w:rPr>
        <w:t>规律，创新管理方法，主动适应新技术新业务快速发展的要求。</w:t>
      </w:r>
    </w:p>
    <w:p w:rsidR="00DA02B9" w:rsidRDefault="003229D3">
      <w:pPr>
        <w:widowControl/>
        <w:shd w:val="clear" w:color="auto" w:fill="FFFFFF"/>
        <w:ind w:firstLineChars="196" w:firstLine="630"/>
        <w:rPr>
          <w:rFonts w:ascii="仿宋_GB2312" w:eastAsia="仿宋_GB2312" w:hAnsi="仿宋_GB2312" w:cs="仿宋_GB2312"/>
          <w:color w:val="000000"/>
          <w:kern w:val="0"/>
          <w:sz w:val="32"/>
          <w:szCs w:val="32"/>
        </w:rPr>
      </w:pPr>
      <w:r>
        <w:rPr>
          <w:rFonts w:ascii="仿宋_GB2312" w:eastAsia="仿宋_GB2312" w:hAnsi="仿宋_GB2312" w:cs="仿宋_GB2312" w:hint="eastAsia"/>
          <w:b/>
          <w:bCs/>
          <w:color w:val="000000"/>
          <w:kern w:val="0"/>
          <w:sz w:val="32"/>
          <w:szCs w:val="32"/>
        </w:rPr>
        <w:t>行业“走出去”迎来新契机。</w:t>
      </w:r>
      <w:r>
        <w:rPr>
          <w:rFonts w:ascii="仿宋_GB2312" w:eastAsia="仿宋_GB2312" w:hAnsi="仿宋_GB2312" w:cs="仿宋_GB2312" w:hint="eastAsia"/>
          <w:color w:val="000000"/>
          <w:kern w:val="0"/>
          <w:sz w:val="32"/>
          <w:szCs w:val="32"/>
        </w:rPr>
        <w:t>“走出去”是信息通信业参与国际竞争的重要表现形式，我国信息通信业已经拥有具备国际竞争力的企业集群，成长潜力巨大，“走出去”的诉求日益迫切。“十三五”期间，围绕“一带一路”战略实施，国家将推动建设多个合作平台，信息通信业应该把握有利契机，充分利用多种合作机制，在国家战略引导和行业发展需求的推动下，拓展合作领域和层次，由通信设备出口和建设施工为主向电信运营等全产业链拓展。</w:t>
      </w:r>
    </w:p>
    <w:p w:rsidR="00DA02B9" w:rsidRDefault="003229D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9" w:lineRule="atLeast"/>
        <w:ind w:firstLine="630"/>
        <w:jc w:val="left"/>
        <w:rPr>
          <w:rFonts w:ascii="仿宋_GB2312" w:eastAsia="仿宋_GB2312" w:hAnsi="仿宋_GB2312" w:cs="仿宋_GB2312"/>
          <w:bCs/>
          <w:color w:val="000000"/>
          <w:kern w:val="0"/>
          <w:sz w:val="32"/>
          <w:szCs w:val="32"/>
        </w:rPr>
      </w:pPr>
      <w:r>
        <w:rPr>
          <w:rFonts w:ascii="仿宋_GB2312" w:eastAsia="仿宋_GB2312" w:hAnsi="仿宋_GB2312" w:cs="仿宋_GB2312" w:hint="eastAsia"/>
          <w:b/>
          <w:bCs/>
          <w:color w:val="000000"/>
          <w:kern w:val="0"/>
          <w:sz w:val="32"/>
          <w:szCs w:val="32"/>
        </w:rPr>
        <w:t>网络安全面临新挑战。</w:t>
      </w:r>
      <w:r>
        <w:rPr>
          <w:rFonts w:ascii="仿宋_GB2312" w:eastAsia="仿宋_GB2312" w:hAnsi="仿宋_GB2312" w:cs="仿宋_GB2312" w:hint="eastAsia"/>
          <w:bCs/>
          <w:color w:val="000000"/>
          <w:kern w:val="0"/>
          <w:sz w:val="32"/>
          <w:szCs w:val="32"/>
        </w:rPr>
        <w:t>随着新</w:t>
      </w:r>
      <w:r>
        <w:rPr>
          <w:rFonts w:ascii="仿宋_GB2312" w:eastAsia="仿宋_GB2312" w:hAnsi="仿宋_GB2312" w:cs="仿宋_GB2312" w:hint="eastAsia"/>
          <w:color w:val="000000"/>
          <w:kern w:val="0"/>
          <w:sz w:val="32"/>
          <w:szCs w:val="32"/>
        </w:rPr>
        <w:t>技术新业务发展，互联网与经济社会各领域深度融合</w:t>
      </w:r>
      <w:r>
        <w:rPr>
          <w:rFonts w:ascii="仿宋_GB2312" w:eastAsia="仿宋_GB2312" w:hAnsi="仿宋_GB2312" w:cs="仿宋_GB2312" w:hint="eastAsia"/>
          <w:bCs/>
          <w:color w:val="000000"/>
          <w:kern w:val="0"/>
          <w:sz w:val="32"/>
          <w:szCs w:val="32"/>
        </w:rPr>
        <w:t>，网络安全威胁和风险日益突出，并日益向政治、经济、文化、社会、生态、国防等领域传导渗透。特别是国家关键信息基础设施面临较大风险隐患，网络安全防控能力薄弱，难以有效应对国家级、有组织的高强度网络攻击，网络安全形势日趋严峻。“十三五”期间，信</w:t>
      </w:r>
      <w:r>
        <w:rPr>
          <w:rFonts w:ascii="仿宋_GB2312" w:eastAsia="仿宋_GB2312" w:hAnsi="仿宋_GB2312" w:cs="仿宋_GB2312" w:hint="eastAsia"/>
          <w:bCs/>
          <w:color w:val="000000"/>
          <w:kern w:val="0"/>
          <w:sz w:val="32"/>
          <w:szCs w:val="32"/>
        </w:rPr>
        <w:lastRenderedPageBreak/>
        <w:t>息通信业要站在更高层次、更广领域落实网络安全观，进一步加强网络安全管理工作，完善行业网络和信息安全监管体系，创新理念方法，健全机制手段，提升全行业的安全风险防控和保障能力。</w:t>
      </w:r>
    </w:p>
    <w:p w:rsidR="00DA02B9" w:rsidRDefault="003229D3">
      <w:pPr>
        <w:pStyle w:val="1"/>
        <w:spacing w:before="0" w:after="0" w:line="240" w:lineRule="auto"/>
        <w:ind w:firstLineChars="200" w:firstLine="640"/>
        <w:rPr>
          <w:rFonts w:ascii="黑体" w:eastAsia="黑体" w:hAnsi="黑体" w:cs="黑体"/>
          <w:b w:val="0"/>
          <w:bCs w:val="0"/>
          <w:color w:val="000000"/>
          <w:kern w:val="0"/>
          <w:sz w:val="32"/>
        </w:rPr>
      </w:pPr>
      <w:bookmarkStart w:id="14" w:name="_Toc736"/>
      <w:bookmarkStart w:id="15" w:name="_Toc451533428"/>
      <w:bookmarkStart w:id="16" w:name="_Toc9774"/>
      <w:bookmarkStart w:id="17" w:name="_Toc452557638"/>
      <w:bookmarkStart w:id="18" w:name="_Toc879"/>
      <w:bookmarkStart w:id="19" w:name="_Toc448845018"/>
      <w:r>
        <w:rPr>
          <w:rFonts w:ascii="黑体" w:eastAsia="黑体" w:hAnsi="黑体" w:cs="黑体" w:hint="eastAsia"/>
          <w:b w:val="0"/>
          <w:bCs w:val="0"/>
          <w:color w:val="000000"/>
          <w:kern w:val="0"/>
          <w:sz w:val="32"/>
        </w:rPr>
        <w:t>二、指导思想、基本原则和发展目标</w:t>
      </w:r>
      <w:bookmarkEnd w:id="14"/>
      <w:bookmarkEnd w:id="15"/>
      <w:bookmarkEnd w:id="16"/>
      <w:bookmarkEnd w:id="17"/>
      <w:bookmarkEnd w:id="18"/>
      <w:bookmarkEnd w:id="19"/>
    </w:p>
    <w:p w:rsidR="00DA02B9" w:rsidRDefault="003229D3">
      <w:pPr>
        <w:pStyle w:val="2"/>
        <w:spacing w:before="0" w:after="0" w:line="240" w:lineRule="auto"/>
        <w:ind w:left="640"/>
        <w:rPr>
          <w:rFonts w:ascii="楷体_GB2312" w:eastAsia="楷体_GB2312" w:hAnsi="楷体_GB2312" w:cs="楷体_GB2312"/>
          <w:bCs w:val="0"/>
          <w:color w:val="000000"/>
        </w:rPr>
      </w:pPr>
      <w:bookmarkStart w:id="20" w:name="_Toc12136"/>
      <w:bookmarkStart w:id="21" w:name="_Toc446320829"/>
      <w:bookmarkStart w:id="22" w:name="_Toc8035"/>
      <w:bookmarkStart w:id="23" w:name="_Toc22330"/>
      <w:bookmarkStart w:id="24" w:name="_Toc452557639"/>
      <w:bookmarkStart w:id="25" w:name="_Toc451533429"/>
      <w:bookmarkStart w:id="26" w:name="_Toc448845019"/>
      <w:r>
        <w:rPr>
          <w:rFonts w:ascii="楷体_GB2312" w:eastAsia="楷体_GB2312" w:hAnsi="楷体_GB2312" w:cs="楷体_GB2312" w:hint="eastAsia"/>
          <w:bCs w:val="0"/>
          <w:color w:val="000000"/>
        </w:rPr>
        <w:t>（一）指导思想</w:t>
      </w:r>
      <w:bookmarkEnd w:id="20"/>
      <w:bookmarkEnd w:id="21"/>
      <w:bookmarkEnd w:id="22"/>
      <w:bookmarkEnd w:id="23"/>
      <w:bookmarkEnd w:id="24"/>
      <w:bookmarkEnd w:id="25"/>
      <w:bookmarkEnd w:id="26"/>
    </w:p>
    <w:p w:rsidR="00DA02B9" w:rsidRDefault="003229D3">
      <w:pPr>
        <w:widowControl/>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全面</w:t>
      </w:r>
      <w:r>
        <w:rPr>
          <w:rFonts w:ascii="仿宋_GB2312" w:eastAsia="仿宋_GB2312" w:hAnsi="仿宋_GB2312" w:cs="仿宋_GB2312" w:hint="eastAsia"/>
          <w:color w:val="000000"/>
          <w:sz w:val="32"/>
          <w:szCs w:val="32"/>
        </w:rPr>
        <w:t>贯彻党的十八大和十八届三中、四中、五中</w:t>
      </w:r>
      <w:r>
        <w:rPr>
          <w:rFonts w:ascii="仿宋_GB2312" w:eastAsia="仿宋_GB2312" w:hAnsi="仿宋_GB2312" w:cs="仿宋_GB2312" w:hint="eastAsia"/>
          <w:color w:val="000000"/>
          <w:sz w:val="32"/>
          <w:szCs w:val="32"/>
        </w:rPr>
        <w:t>、六中</w:t>
      </w:r>
      <w:r>
        <w:rPr>
          <w:rFonts w:ascii="仿宋_GB2312" w:eastAsia="仿宋_GB2312" w:hAnsi="仿宋_GB2312" w:cs="仿宋_GB2312" w:hint="eastAsia"/>
          <w:color w:val="000000"/>
          <w:sz w:val="32"/>
          <w:szCs w:val="32"/>
        </w:rPr>
        <w:t>全会精神，深入贯彻习近平总书记系列重要讲话精神，紧紧围绕“四个全面”战略布局，坚持以人民为中心的发展思想，坚持创新、协调、绿色、开放、共享的发展理念，坚持推动供给侧结构性改革，以推动网络强国建设为中心，以深入推进信息通信业与经济社会各行业各领域的融合发展为主线，全面构建新一代国家信息通信基础设施，有效推动宽带网络提速降费，深入推进转型发展，持续完善行业监管体系，不断提升信息通信业技术和服务水平及安全保障能力，努力增强企业国际竞争力，加快构建现代互联网产业体系，拓展</w:t>
      </w:r>
      <w:r>
        <w:rPr>
          <w:rFonts w:ascii="仿宋_GB2312" w:eastAsia="仿宋_GB2312" w:hAnsi="仿宋_GB2312" w:cs="仿宋_GB2312" w:hint="eastAsia"/>
          <w:color w:val="000000"/>
          <w:sz w:val="32"/>
          <w:szCs w:val="32"/>
        </w:rPr>
        <w:t>网络经济空间和网络民生服务新模式，支撑“四化”同步发展和全面建成小康社会奋斗目标如期实现。</w:t>
      </w:r>
    </w:p>
    <w:p w:rsidR="00DA02B9" w:rsidRDefault="003229D3">
      <w:pPr>
        <w:pStyle w:val="2"/>
        <w:spacing w:before="0" w:after="0" w:line="240" w:lineRule="auto"/>
        <w:ind w:left="640"/>
        <w:rPr>
          <w:rFonts w:ascii="楷体_GB2312" w:eastAsia="楷体_GB2312" w:hAnsi="楷体_GB2312" w:cs="楷体_GB2312"/>
          <w:bCs w:val="0"/>
          <w:color w:val="000000"/>
        </w:rPr>
      </w:pPr>
      <w:bookmarkStart w:id="27" w:name="_Toc448130273"/>
      <w:bookmarkStart w:id="28" w:name="_Toc9314"/>
      <w:bookmarkStart w:id="29" w:name="_Toc452557640"/>
      <w:bookmarkStart w:id="30" w:name="_Toc32004"/>
      <w:bookmarkStart w:id="31" w:name="_Toc5162"/>
      <w:bookmarkStart w:id="32" w:name="_Toc451533430"/>
      <w:bookmarkStart w:id="33" w:name="_Toc448845020"/>
      <w:bookmarkEnd w:id="27"/>
      <w:r>
        <w:rPr>
          <w:rFonts w:ascii="楷体_GB2312" w:eastAsia="楷体_GB2312" w:hAnsi="楷体_GB2312" w:cs="楷体_GB2312" w:hint="eastAsia"/>
          <w:bCs w:val="0"/>
          <w:color w:val="000000"/>
        </w:rPr>
        <w:t>（二）基本原则</w:t>
      </w:r>
      <w:bookmarkEnd w:id="28"/>
      <w:bookmarkEnd w:id="29"/>
      <w:bookmarkEnd w:id="30"/>
      <w:bookmarkEnd w:id="31"/>
      <w:bookmarkEnd w:id="32"/>
      <w:bookmarkEnd w:id="33"/>
    </w:p>
    <w:p w:rsidR="00DA02B9" w:rsidRDefault="003229D3" w:rsidP="00881FE9">
      <w:pPr>
        <w:widowControl/>
        <w:ind w:firstLineChars="200" w:firstLine="643"/>
        <w:rPr>
          <w:rFonts w:ascii="仿宋_GB2312" w:eastAsia="仿宋_GB2312" w:hAnsi="仿宋_GB2312" w:cs="仿宋_GB2312"/>
          <w:color w:val="000000"/>
          <w:sz w:val="32"/>
          <w:szCs w:val="32"/>
        </w:rPr>
      </w:pPr>
      <w:r>
        <w:rPr>
          <w:rFonts w:ascii="仿宋_GB2312" w:eastAsia="仿宋_GB2312" w:hAnsi="仿宋_GB2312" w:cs="仿宋_GB2312" w:hint="eastAsia"/>
          <w:b/>
          <w:bCs/>
          <w:color w:val="000000"/>
          <w:sz w:val="32"/>
          <w:szCs w:val="32"/>
        </w:rPr>
        <w:t>创新驱动</w:t>
      </w:r>
      <w:r>
        <w:rPr>
          <w:rFonts w:ascii="仿宋_GB2312" w:eastAsia="仿宋_GB2312" w:hAnsi="仿宋_GB2312" w:cs="仿宋_GB2312" w:hint="eastAsia"/>
          <w:b/>
          <w:bCs/>
          <w:color w:val="000000"/>
          <w:sz w:val="32"/>
          <w:szCs w:val="32"/>
        </w:rPr>
        <w:t>。</w:t>
      </w:r>
      <w:r>
        <w:rPr>
          <w:rFonts w:ascii="仿宋_GB2312" w:eastAsia="仿宋_GB2312" w:hAnsi="仿宋_GB2312" w:cs="仿宋_GB2312" w:hint="eastAsia"/>
          <w:color w:val="000000"/>
          <w:sz w:val="32"/>
          <w:szCs w:val="32"/>
        </w:rPr>
        <w:t>坚持把创新作为引领发展的第一动力。提供支撑国家创新发展战略的信息网络环境和资源开放平台，支持大众创业万众创新。加快构建以企业为主体、产学研用相</w:t>
      </w:r>
      <w:r>
        <w:rPr>
          <w:rFonts w:ascii="仿宋_GB2312" w:eastAsia="仿宋_GB2312" w:hAnsi="仿宋_GB2312" w:cs="仿宋_GB2312" w:hint="eastAsia"/>
          <w:color w:val="000000"/>
          <w:sz w:val="32"/>
          <w:szCs w:val="32"/>
        </w:rPr>
        <w:lastRenderedPageBreak/>
        <w:t>结合的创新体系，在信息通信核心技术研发与应用上，推动</w:t>
      </w:r>
      <w:r>
        <w:rPr>
          <w:rFonts w:ascii="仿宋_GB2312" w:eastAsia="仿宋_GB2312" w:hAnsi="仿宋_GB2312" w:cs="仿宋_GB2312" w:hint="eastAsia"/>
          <w:color w:val="000000"/>
          <w:sz w:val="32"/>
          <w:szCs w:val="32"/>
          <w:shd w:val="clear" w:color="auto" w:fill="FFFFFF"/>
        </w:rPr>
        <w:t>强强联合、协同攻关</w:t>
      </w:r>
      <w:r>
        <w:rPr>
          <w:rFonts w:ascii="仿宋_GB2312" w:eastAsia="仿宋_GB2312" w:hAnsi="仿宋_GB2312" w:cs="仿宋_GB2312" w:hint="eastAsia"/>
          <w:color w:val="000000"/>
          <w:sz w:val="32"/>
          <w:szCs w:val="32"/>
        </w:rPr>
        <w:t>。创新监管思路和手段，提升行业监管效能。形成以创新为主要引领和支撑的行业发展模式。</w:t>
      </w:r>
    </w:p>
    <w:p w:rsidR="00DA02B9" w:rsidRDefault="003229D3" w:rsidP="00881FE9">
      <w:pPr>
        <w:widowControl/>
        <w:ind w:firstLineChars="200" w:firstLine="643"/>
        <w:rPr>
          <w:rFonts w:ascii="仿宋_GB2312" w:eastAsia="仿宋_GB2312" w:hAnsi="仿宋_GB2312" w:cs="仿宋_GB2312"/>
          <w:color w:val="000000"/>
          <w:sz w:val="32"/>
          <w:szCs w:val="32"/>
        </w:rPr>
      </w:pPr>
      <w:r>
        <w:rPr>
          <w:rFonts w:ascii="仿宋_GB2312" w:eastAsia="仿宋_GB2312" w:hAnsi="仿宋_GB2312" w:cs="仿宋_GB2312" w:hint="eastAsia"/>
          <w:b/>
          <w:bCs/>
          <w:color w:val="000000"/>
          <w:sz w:val="32"/>
          <w:szCs w:val="32"/>
        </w:rPr>
        <w:t>均衡协调</w:t>
      </w:r>
      <w:r>
        <w:rPr>
          <w:rFonts w:ascii="仿宋_GB2312" w:eastAsia="仿宋_GB2312" w:hAnsi="仿宋_GB2312" w:cs="仿宋_GB2312" w:hint="eastAsia"/>
          <w:b/>
          <w:bCs/>
          <w:color w:val="000000"/>
          <w:sz w:val="32"/>
          <w:szCs w:val="32"/>
        </w:rPr>
        <w:t>。</w:t>
      </w:r>
      <w:r>
        <w:rPr>
          <w:rFonts w:ascii="仿宋_GB2312" w:eastAsia="仿宋_GB2312" w:hAnsi="仿宋_GB2312" w:cs="仿宋_GB2312" w:hint="eastAsia"/>
          <w:color w:val="000000"/>
          <w:sz w:val="32"/>
          <w:szCs w:val="32"/>
        </w:rPr>
        <w:t>坚持系统推进行业全面协调发展。保持区域、城乡协调发展，逐步缩小东西部差距、城乡“数字鸿沟”，促进公共服务均等化，促进基础设施建设与信息化应用协调发展，促进信息通信业与经济社会协调发展。</w:t>
      </w:r>
    </w:p>
    <w:p w:rsidR="00DA02B9" w:rsidRDefault="003229D3" w:rsidP="00881FE9">
      <w:pPr>
        <w:widowControl/>
        <w:ind w:firstLineChars="200" w:firstLine="643"/>
        <w:rPr>
          <w:rFonts w:ascii="仿宋_GB2312" w:eastAsia="仿宋_GB2312" w:hAnsi="仿宋_GB2312" w:cs="仿宋_GB2312"/>
          <w:color w:val="000000"/>
          <w:sz w:val="32"/>
          <w:szCs w:val="32"/>
        </w:rPr>
      </w:pPr>
      <w:r>
        <w:rPr>
          <w:rFonts w:ascii="仿宋_GB2312" w:eastAsia="仿宋_GB2312" w:hAnsi="仿宋_GB2312" w:cs="仿宋_GB2312" w:hint="eastAsia"/>
          <w:b/>
          <w:bCs/>
          <w:color w:val="000000"/>
          <w:sz w:val="32"/>
          <w:szCs w:val="32"/>
        </w:rPr>
        <w:t>开放合作</w:t>
      </w:r>
      <w:r>
        <w:rPr>
          <w:rFonts w:ascii="仿宋_GB2312" w:eastAsia="仿宋_GB2312" w:hAnsi="仿宋_GB2312" w:cs="仿宋_GB2312" w:hint="eastAsia"/>
          <w:b/>
          <w:bCs/>
          <w:color w:val="000000"/>
          <w:sz w:val="32"/>
          <w:szCs w:val="32"/>
        </w:rPr>
        <w:t>。</w:t>
      </w:r>
      <w:r>
        <w:rPr>
          <w:rFonts w:ascii="仿宋_GB2312" w:eastAsia="仿宋_GB2312" w:hAnsi="仿宋_GB2312" w:cs="仿宋_GB2312" w:hint="eastAsia"/>
          <w:color w:val="000000"/>
          <w:sz w:val="32"/>
          <w:szCs w:val="32"/>
        </w:rPr>
        <w:t>坚持以开放的姿态与相关行业深度融合发展，主动适应新技术新业务新业态发展需求，充分利用民资和外资等资源，加强国际合作，开拓国际市场，积极拓展行业服务空间。</w:t>
      </w:r>
    </w:p>
    <w:p w:rsidR="00DA02B9" w:rsidRDefault="003229D3" w:rsidP="00881FE9">
      <w:pPr>
        <w:widowControl/>
        <w:ind w:firstLineChars="200" w:firstLine="643"/>
        <w:rPr>
          <w:rFonts w:ascii="仿宋_GB2312" w:eastAsia="仿宋_GB2312" w:hAnsi="仿宋_GB2312" w:cs="仿宋_GB2312"/>
          <w:color w:val="000000"/>
          <w:sz w:val="32"/>
          <w:szCs w:val="32"/>
        </w:rPr>
      </w:pPr>
      <w:r>
        <w:rPr>
          <w:rFonts w:ascii="仿宋_GB2312" w:eastAsia="仿宋_GB2312" w:hAnsi="仿宋_GB2312" w:cs="仿宋_GB2312" w:hint="eastAsia"/>
          <w:b/>
          <w:bCs/>
          <w:color w:val="000000"/>
          <w:sz w:val="32"/>
          <w:szCs w:val="32"/>
        </w:rPr>
        <w:t>惠民共享</w:t>
      </w:r>
      <w:r>
        <w:rPr>
          <w:rFonts w:ascii="仿宋_GB2312" w:eastAsia="仿宋_GB2312" w:hAnsi="仿宋_GB2312" w:cs="仿宋_GB2312" w:hint="eastAsia"/>
          <w:b/>
          <w:bCs/>
          <w:color w:val="000000"/>
          <w:sz w:val="32"/>
          <w:szCs w:val="32"/>
        </w:rPr>
        <w:t>。</w:t>
      </w:r>
      <w:r>
        <w:rPr>
          <w:rFonts w:ascii="仿宋_GB2312" w:eastAsia="仿宋_GB2312" w:hAnsi="仿宋_GB2312" w:cs="仿宋_GB2312" w:hint="eastAsia"/>
          <w:color w:val="000000"/>
          <w:sz w:val="32"/>
          <w:szCs w:val="32"/>
        </w:rPr>
        <w:t>坚持发展为了人民、发展依靠人民、发展成果由人民共享，保障妇女、未成年人和残疾人基本通信权利，为老百姓提供用得上、用得起、用得好的信息服务，让亿万人民在共</w:t>
      </w:r>
      <w:r>
        <w:rPr>
          <w:rFonts w:ascii="仿宋_GB2312" w:eastAsia="仿宋_GB2312" w:hAnsi="仿宋_GB2312" w:cs="仿宋_GB2312" w:hint="eastAsia"/>
          <w:color w:val="000000"/>
          <w:sz w:val="32"/>
          <w:szCs w:val="32"/>
        </w:rPr>
        <w:t>享行业发展成果上有更多获得感。</w:t>
      </w:r>
    </w:p>
    <w:p w:rsidR="00DA02B9" w:rsidRDefault="003229D3" w:rsidP="00881FE9">
      <w:pPr>
        <w:widowControl/>
        <w:ind w:firstLineChars="200" w:firstLine="643"/>
        <w:rPr>
          <w:rFonts w:ascii="仿宋_GB2312" w:eastAsia="仿宋_GB2312" w:hAnsi="仿宋_GB2312" w:cs="仿宋_GB2312"/>
          <w:color w:val="000000"/>
          <w:sz w:val="32"/>
          <w:szCs w:val="32"/>
        </w:rPr>
      </w:pPr>
      <w:r>
        <w:rPr>
          <w:rFonts w:ascii="仿宋_GB2312" w:eastAsia="仿宋_GB2312" w:hAnsi="仿宋_GB2312" w:cs="仿宋_GB2312" w:hint="eastAsia"/>
          <w:b/>
          <w:bCs/>
          <w:color w:val="000000"/>
          <w:sz w:val="32"/>
          <w:szCs w:val="32"/>
        </w:rPr>
        <w:t>绿色环保</w:t>
      </w:r>
      <w:r>
        <w:rPr>
          <w:rFonts w:ascii="仿宋_GB2312" w:eastAsia="仿宋_GB2312" w:hAnsi="仿宋_GB2312" w:cs="仿宋_GB2312" w:hint="eastAsia"/>
          <w:b/>
          <w:bCs/>
          <w:color w:val="000000"/>
          <w:sz w:val="32"/>
          <w:szCs w:val="32"/>
        </w:rPr>
        <w:t>。</w:t>
      </w:r>
      <w:r>
        <w:rPr>
          <w:rFonts w:ascii="仿宋_GB2312" w:eastAsia="仿宋_GB2312" w:hAnsi="仿宋_GB2312" w:cs="仿宋_GB2312" w:hint="eastAsia"/>
          <w:color w:val="000000"/>
          <w:sz w:val="32"/>
          <w:szCs w:val="32"/>
        </w:rPr>
        <w:t>坚持绿色发展，加快信息技术在经济社会各领域应用，助力传统产业绿色化转型。加强行业生态文明制度建设，深入推进基础设施共建共享，支持采用绿色节能技术和设备。</w:t>
      </w:r>
    </w:p>
    <w:p w:rsidR="00DA02B9" w:rsidRDefault="003229D3" w:rsidP="00881FE9">
      <w:pPr>
        <w:ind w:firstLineChars="200" w:firstLine="643"/>
        <w:rPr>
          <w:rFonts w:ascii="仿宋_GB2312" w:eastAsia="仿宋_GB2312" w:hAnsi="仿宋_GB2312" w:cs="仿宋_GB2312"/>
          <w:color w:val="000000"/>
          <w:sz w:val="32"/>
          <w:szCs w:val="32"/>
        </w:rPr>
      </w:pPr>
      <w:r>
        <w:rPr>
          <w:rFonts w:ascii="仿宋_GB2312" w:eastAsia="仿宋_GB2312" w:hAnsi="仿宋_GB2312" w:cs="仿宋_GB2312" w:hint="eastAsia"/>
          <w:b/>
          <w:bCs/>
          <w:color w:val="000000"/>
          <w:sz w:val="32"/>
          <w:szCs w:val="32"/>
        </w:rPr>
        <w:t>安全可控</w:t>
      </w:r>
      <w:r>
        <w:rPr>
          <w:rFonts w:ascii="仿宋_GB2312" w:eastAsia="仿宋_GB2312" w:hAnsi="仿宋_GB2312" w:cs="仿宋_GB2312" w:hint="eastAsia"/>
          <w:b/>
          <w:bCs/>
          <w:color w:val="000000"/>
          <w:sz w:val="32"/>
          <w:szCs w:val="32"/>
        </w:rPr>
        <w:t>。</w:t>
      </w:r>
      <w:r>
        <w:rPr>
          <w:rFonts w:ascii="仿宋_GB2312" w:eastAsia="仿宋_GB2312" w:hAnsi="仿宋_GB2312" w:cs="仿宋_GB2312" w:hint="eastAsia"/>
          <w:color w:val="000000"/>
          <w:sz w:val="32"/>
          <w:szCs w:val="32"/>
        </w:rPr>
        <w:t>坚持正确的网络安全观，</w:t>
      </w:r>
      <w:r>
        <w:rPr>
          <w:rFonts w:ascii="仿宋_GB2312" w:eastAsia="仿宋_GB2312" w:hAnsi="仿宋_GB2312" w:cs="仿宋_GB2312" w:hint="eastAsia"/>
          <w:bCs/>
          <w:color w:val="000000"/>
          <w:kern w:val="0"/>
          <w:sz w:val="32"/>
          <w:szCs w:val="32"/>
        </w:rPr>
        <w:t>安全是发展的前提，发展是安全的保障，</w:t>
      </w:r>
      <w:r>
        <w:rPr>
          <w:rFonts w:ascii="仿宋_GB2312" w:eastAsia="仿宋_GB2312" w:hAnsi="仿宋_GB2312" w:cs="仿宋_GB2312" w:hint="eastAsia"/>
          <w:color w:val="000000"/>
          <w:sz w:val="32"/>
          <w:szCs w:val="32"/>
        </w:rPr>
        <w:t>安全与发展要同步推进，大力提升网络与信息安全保障能力，突破网络与信息安全核心技术并加强</w:t>
      </w:r>
      <w:r>
        <w:rPr>
          <w:rFonts w:ascii="仿宋_GB2312" w:eastAsia="仿宋_GB2312" w:hAnsi="仿宋_GB2312" w:cs="仿宋_GB2312" w:hint="eastAsia"/>
          <w:color w:val="000000"/>
          <w:sz w:val="32"/>
          <w:szCs w:val="32"/>
        </w:rPr>
        <w:lastRenderedPageBreak/>
        <w:t>安全管理，全天候全方位感知网络安全态势，为维护国家安全与社会稳定提供强有力的保障。</w:t>
      </w:r>
    </w:p>
    <w:p w:rsidR="00DA02B9" w:rsidRDefault="003229D3">
      <w:pPr>
        <w:pStyle w:val="2"/>
        <w:spacing w:before="0" w:after="0" w:line="240" w:lineRule="auto"/>
        <w:ind w:left="640"/>
        <w:rPr>
          <w:rFonts w:ascii="楷体_GB2312" w:eastAsia="楷体_GB2312" w:hAnsi="楷体_GB2312" w:cs="楷体_GB2312"/>
          <w:bCs w:val="0"/>
          <w:color w:val="000000"/>
        </w:rPr>
      </w:pPr>
      <w:bookmarkStart w:id="34" w:name="_Toc448845021"/>
      <w:bookmarkStart w:id="35" w:name="_Toc9457"/>
      <w:bookmarkStart w:id="36" w:name="_Toc21519"/>
      <w:bookmarkStart w:id="37" w:name="_Toc451533431"/>
      <w:bookmarkStart w:id="38" w:name="_Toc9241"/>
      <w:bookmarkStart w:id="39" w:name="_Toc452557641"/>
      <w:r>
        <w:rPr>
          <w:rFonts w:ascii="楷体_GB2312" w:eastAsia="楷体_GB2312" w:hAnsi="楷体_GB2312" w:cs="楷体_GB2312" w:hint="eastAsia"/>
          <w:bCs w:val="0"/>
          <w:color w:val="000000"/>
        </w:rPr>
        <w:t>（三）发展目标</w:t>
      </w:r>
      <w:bookmarkEnd w:id="34"/>
      <w:bookmarkEnd w:id="35"/>
      <w:bookmarkEnd w:id="36"/>
      <w:bookmarkEnd w:id="37"/>
      <w:bookmarkEnd w:id="38"/>
      <w:bookmarkEnd w:id="39"/>
    </w:p>
    <w:p w:rsidR="00DA02B9" w:rsidRDefault="003229D3">
      <w:pPr>
        <w:widowControl/>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到</w:t>
      </w:r>
      <w:r>
        <w:rPr>
          <w:rFonts w:ascii="仿宋_GB2312" w:eastAsia="仿宋_GB2312" w:hAnsi="仿宋_GB2312" w:cs="仿宋_GB2312" w:hint="eastAsia"/>
          <w:color w:val="000000"/>
          <w:sz w:val="32"/>
          <w:szCs w:val="32"/>
        </w:rPr>
        <w:t>2020</w:t>
      </w:r>
      <w:r>
        <w:rPr>
          <w:rFonts w:ascii="仿宋_GB2312" w:eastAsia="仿宋_GB2312" w:hAnsi="仿宋_GB2312" w:cs="仿宋_GB2312" w:hint="eastAsia"/>
          <w:color w:val="000000"/>
          <w:sz w:val="32"/>
          <w:szCs w:val="32"/>
        </w:rPr>
        <w:t>年，信息通信业整体规模进一步壮大</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综合发展水平大幅提</w:t>
      </w:r>
      <w:r>
        <w:rPr>
          <w:rFonts w:ascii="仿宋_GB2312" w:eastAsia="仿宋_GB2312" w:hAnsi="仿宋_GB2312" w:cs="仿宋_GB2312" w:hint="eastAsia"/>
          <w:color w:val="000000"/>
          <w:sz w:val="32"/>
          <w:szCs w:val="32"/>
        </w:rPr>
        <w:t>升，“宽带中国”战略各项目标全面实现，基本建成高速、移动、安全、泛在的新一代信息基础设施，初步形成网络化、智能化、服务化、协同化的现代互联网产业体系，自主创新能力显著增强，新兴业态和融合应用蓬勃发展，提速降费取得实效，信息通信业支撑经济社会发展的能力全面提升，在推动经济提质增效和社会进步中的作用更为突出，为建设网络强国奠定坚实基础。</w:t>
      </w:r>
    </w:p>
    <w:p w:rsidR="00DA02B9" w:rsidRDefault="003229D3">
      <w:pPr>
        <w:widowControl/>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具体到“十三五”期末：</w:t>
      </w:r>
    </w:p>
    <w:p w:rsidR="00DA02B9" w:rsidRDefault="003229D3" w:rsidP="00881FE9">
      <w:pPr>
        <w:widowControl/>
        <w:ind w:firstLineChars="200" w:firstLine="643"/>
        <w:rPr>
          <w:rFonts w:ascii="仿宋_GB2312" w:eastAsia="仿宋_GB2312" w:hAnsi="仿宋_GB2312" w:cs="仿宋_GB2312"/>
          <w:color w:val="000000"/>
          <w:sz w:val="32"/>
          <w:szCs w:val="32"/>
        </w:rPr>
      </w:pPr>
      <w:r>
        <w:rPr>
          <w:rFonts w:ascii="仿宋_GB2312" w:eastAsia="仿宋_GB2312" w:hAnsi="仿宋_GB2312" w:cs="仿宋_GB2312" w:hint="eastAsia"/>
          <w:b/>
          <w:bCs/>
          <w:color w:val="000000"/>
          <w:sz w:val="32"/>
          <w:szCs w:val="32"/>
        </w:rPr>
        <w:t>——覆盖陆海空天的国家信息通信网络基础设施进一步完善。</w:t>
      </w:r>
      <w:r>
        <w:rPr>
          <w:rFonts w:ascii="仿宋_GB2312" w:eastAsia="仿宋_GB2312" w:hAnsi="仿宋_GB2312" w:cs="仿宋_GB2312" w:hint="eastAsia"/>
          <w:color w:val="000000"/>
          <w:sz w:val="32"/>
          <w:szCs w:val="32"/>
        </w:rPr>
        <w:t>光网和</w:t>
      </w:r>
      <w:r>
        <w:rPr>
          <w:rFonts w:ascii="仿宋_GB2312" w:eastAsia="仿宋_GB2312" w:hAnsi="仿宋_GB2312" w:cs="仿宋_GB2312" w:hint="eastAsia"/>
          <w:color w:val="000000"/>
          <w:sz w:val="32"/>
          <w:szCs w:val="32"/>
        </w:rPr>
        <w:t>4G</w:t>
      </w:r>
      <w:r>
        <w:rPr>
          <w:rFonts w:ascii="仿宋_GB2312" w:eastAsia="仿宋_GB2312" w:hAnsi="仿宋_GB2312" w:cs="仿宋_GB2312" w:hint="eastAsia"/>
          <w:color w:val="000000"/>
          <w:sz w:val="32"/>
          <w:szCs w:val="32"/>
        </w:rPr>
        <w:t>网络全面覆盖城乡，宽带接入能力大幅提升，</w:t>
      </w:r>
      <w:r>
        <w:rPr>
          <w:rFonts w:ascii="仿宋_GB2312" w:eastAsia="仿宋_GB2312" w:hAnsi="仿宋_GB2312" w:cs="仿宋_GB2312" w:hint="eastAsia"/>
          <w:color w:val="000000"/>
          <w:sz w:val="32"/>
          <w:szCs w:val="32"/>
        </w:rPr>
        <w:t>5G</w:t>
      </w:r>
      <w:r>
        <w:rPr>
          <w:rFonts w:ascii="仿宋_GB2312" w:eastAsia="仿宋_GB2312" w:hAnsi="仿宋_GB2312" w:cs="仿宋_GB2312" w:hint="eastAsia"/>
          <w:color w:val="000000"/>
          <w:sz w:val="32"/>
          <w:szCs w:val="32"/>
        </w:rPr>
        <w:t>启动商用服务。形成容量大、网速高、管理灵活的</w:t>
      </w:r>
      <w:r>
        <w:rPr>
          <w:rFonts w:ascii="仿宋_GB2312" w:eastAsia="仿宋_GB2312" w:hAnsi="仿宋_GB2312" w:cs="仿宋_GB2312" w:hint="eastAsia"/>
          <w:color w:val="000000"/>
          <w:sz w:val="32"/>
          <w:szCs w:val="32"/>
        </w:rPr>
        <w:t>新一代骨干传输网。建成较为完善的商业卫星通信服务体系。国际海、陆缆路由进一步丰富，网络通达性显著增强。</w:t>
      </w:r>
    </w:p>
    <w:p w:rsidR="00DA02B9" w:rsidRDefault="003229D3" w:rsidP="00881FE9">
      <w:pPr>
        <w:widowControl/>
        <w:ind w:firstLineChars="200" w:firstLine="643"/>
        <w:rPr>
          <w:rFonts w:ascii="仿宋_GB2312" w:eastAsia="仿宋_GB2312" w:hAnsi="仿宋_GB2312" w:cs="仿宋_GB2312"/>
          <w:color w:val="000000"/>
          <w:sz w:val="32"/>
          <w:szCs w:val="32"/>
        </w:rPr>
      </w:pPr>
      <w:r>
        <w:rPr>
          <w:rFonts w:ascii="仿宋_GB2312" w:eastAsia="仿宋_GB2312" w:hAnsi="仿宋_GB2312" w:cs="仿宋_GB2312" w:hint="eastAsia"/>
          <w:b/>
          <w:bCs/>
          <w:color w:val="000000"/>
          <w:sz w:val="32"/>
          <w:szCs w:val="32"/>
        </w:rPr>
        <w:t>——互联网设施与资源能力大幅提升。</w:t>
      </w:r>
      <w:r>
        <w:rPr>
          <w:rFonts w:ascii="仿宋_GB2312" w:eastAsia="仿宋_GB2312" w:hAnsi="仿宋_GB2312" w:cs="仿宋_GB2312" w:hint="eastAsia"/>
          <w:color w:val="000000"/>
          <w:sz w:val="32"/>
          <w:szCs w:val="32"/>
        </w:rPr>
        <w:t>形成技术先进、结构合理、规模适度、协调发展、绿色集约的数据中心新格局。网络架构进一步优化，</w:t>
      </w:r>
      <w:r>
        <w:rPr>
          <w:rFonts w:ascii="仿宋_GB2312" w:eastAsia="仿宋_GB2312" w:hAnsi="仿宋_GB2312" w:cs="仿宋_GB2312" w:hint="eastAsia"/>
          <w:color w:val="000000"/>
          <w:sz w:val="32"/>
          <w:szCs w:val="32"/>
        </w:rPr>
        <w:t>CDN</w:t>
      </w:r>
      <w:r>
        <w:rPr>
          <w:rFonts w:ascii="仿宋_GB2312" w:eastAsia="仿宋_GB2312" w:hAnsi="仿宋_GB2312" w:cs="仿宋_GB2312" w:hint="eastAsia"/>
          <w:color w:val="000000"/>
          <w:sz w:val="32"/>
          <w:szCs w:val="32"/>
        </w:rPr>
        <w:t>网络延伸到所有地级市。国内主要商业网站、教育科研网站和政府网站支持</w:t>
      </w:r>
      <w:r>
        <w:rPr>
          <w:rFonts w:ascii="仿宋_GB2312" w:eastAsia="仿宋_GB2312" w:hAnsi="仿宋_GB2312" w:cs="仿宋_GB2312" w:hint="eastAsia"/>
          <w:color w:val="000000"/>
          <w:sz w:val="32"/>
          <w:szCs w:val="32"/>
        </w:rPr>
        <w:t>IPv6</w:t>
      </w:r>
      <w:r>
        <w:rPr>
          <w:rFonts w:ascii="仿宋_GB2312" w:eastAsia="仿宋_GB2312" w:hAnsi="仿宋_GB2312" w:cs="仿宋_GB2312" w:hint="eastAsia"/>
          <w:color w:val="000000"/>
          <w:sz w:val="32"/>
          <w:szCs w:val="32"/>
        </w:rPr>
        <w:t>。国际互联网</w:t>
      </w:r>
      <w:r>
        <w:rPr>
          <w:rFonts w:ascii="仿宋_GB2312" w:eastAsia="仿宋_GB2312" w:hAnsi="仿宋_GB2312" w:cs="仿宋_GB2312" w:hint="eastAsia"/>
          <w:color w:val="000000"/>
          <w:kern w:val="0"/>
          <w:sz w:val="32"/>
          <w:szCs w:val="32"/>
        </w:rPr>
        <w:t>布局更加</w:t>
      </w:r>
      <w:r>
        <w:rPr>
          <w:rFonts w:ascii="仿宋_GB2312" w:eastAsia="仿宋_GB2312" w:hAnsi="仿宋_GB2312" w:cs="仿宋_GB2312" w:hint="eastAsia"/>
          <w:color w:val="000000"/>
          <w:sz w:val="32"/>
          <w:szCs w:val="32"/>
        </w:rPr>
        <w:t>完善。</w:t>
      </w:r>
    </w:p>
    <w:p w:rsidR="00DA02B9" w:rsidRDefault="003229D3" w:rsidP="00881FE9">
      <w:pPr>
        <w:ind w:firstLineChars="200" w:firstLine="643"/>
        <w:rPr>
          <w:rFonts w:ascii="仿宋_GB2312" w:eastAsia="仿宋_GB2312" w:hAnsi="仿宋_GB2312" w:cs="仿宋_GB2312"/>
          <w:color w:val="000000"/>
          <w:sz w:val="32"/>
        </w:rPr>
      </w:pPr>
      <w:r>
        <w:rPr>
          <w:rFonts w:ascii="仿宋_GB2312" w:eastAsia="仿宋_GB2312" w:hAnsi="仿宋_GB2312" w:cs="仿宋_GB2312" w:hint="eastAsia"/>
          <w:b/>
          <w:bCs/>
          <w:color w:val="000000"/>
          <w:sz w:val="32"/>
          <w:szCs w:val="32"/>
        </w:rPr>
        <w:lastRenderedPageBreak/>
        <w:t>——现代互联网产业体系初步形成。</w:t>
      </w:r>
      <w:r>
        <w:rPr>
          <w:rFonts w:ascii="仿宋_GB2312" w:eastAsia="仿宋_GB2312" w:hAnsi="仿宋_GB2312" w:cs="仿宋_GB2312" w:hint="eastAsia"/>
          <w:color w:val="000000"/>
          <w:sz w:val="32"/>
          <w:szCs w:val="32"/>
        </w:rPr>
        <w:t>培育形成一批具有国际影响力和产业引领能力的企业。技术研发、基础设施建设和部署、新业态培育实现良性互动，一批新业务新应用发展壮大，互联网普及和应用水平大幅提升，信息服务层次和水平不断提升，网络经济与实体经济良性协同的发展格局基本形成，公共服务和公共管理水平显著提高。以互联网为核心的行业管理体系进一步完善。</w:t>
      </w:r>
    </w:p>
    <w:p w:rsidR="00DA02B9" w:rsidRDefault="003229D3" w:rsidP="00881FE9">
      <w:pPr>
        <w:widowControl/>
        <w:ind w:firstLineChars="200" w:firstLine="643"/>
        <w:rPr>
          <w:rFonts w:ascii="仿宋_GB2312" w:eastAsia="仿宋_GB2312" w:hAnsi="仿宋_GB2312" w:cs="仿宋_GB2312"/>
          <w:color w:val="000000"/>
          <w:sz w:val="32"/>
          <w:szCs w:val="32"/>
        </w:rPr>
      </w:pPr>
      <w:r>
        <w:rPr>
          <w:rFonts w:ascii="仿宋_GB2312" w:eastAsia="仿宋_GB2312" w:hAnsi="仿宋_GB2312" w:cs="仿宋_GB2312" w:hint="eastAsia"/>
          <w:b/>
          <w:bCs/>
          <w:color w:val="000000"/>
          <w:sz w:val="32"/>
          <w:szCs w:val="32"/>
        </w:rPr>
        <w:t>——信息通信技术掌控力显著增强。</w:t>
      </w:r>
      <w:r>
        <w:rPr>
          <w:rFonts w:ascii="仿宋_GB2312" w:eastAsia="仿宋_GB2312" w:hAnsi="仿宋_GB2312" w:cs="仿宋_GB2312" w:hint="eastAsia"/>
          <w:color w:val="000000"/>
          <w:sz w:val="32"/>
          <w:szCs w:val="32"/>
        </w:rPr>
        <w:t>成为</w:t>
      </w:r>
      <w:r>
        <w:rPr>
          <w:rFonts w:ascii="仿宋_GB2312" w:eastAsia="仿宋_GB2312" w:hAnsi="仿宋_GB2312" w:cs="仿宋_GB2312" w:hint="eastAsia"/>
          <w:color w:val="000000"/>
          <w:sz w:val="32"/>
          <w:szCs w:val="32"/>
        </w:rPr>
        <w:t>5G</w:t>
      </w:r>
      <w:r>
        <w:rPr>
          <w:rFonts w:ascii="仿宋_GB2312" w:eastAsia="仿宋_GB2312" w:hAnsi="仿宋_GB2312" w:cs="仿宋_GB2312" w:hint="eastAsia"/>
          <w:color w:val="000000"/>
          <w:sz w:val="32"/>
          <w:szCs w:val="32"/>
        </w:rPr>
        <w:t>标准和技术的全球引领者之一。未来网络、互联网新兴技术自主研发能力显著提升，实现软件定义网络（</w:t>
      </w:r>
      <w:r>
        <w:rPr>
          <w:rFonts w:ascii="仿宋_GB2312" w:eastAsia="仿宋_GB2312" w:hAnsi="仿宋_GB2312" w:cs="仿宋_GB2312" w:hint="eastAsia"/>
          <w:color w:val="000000"/>
          <w:sz w:val="32"/>
          <w:szCs w:val="32"/>
        </w:rPr>
        <w:t>SDN</w:t>
      </w:r>
      <w:r>
        <w:rPr>
          <w:rFonts w:ascii="仿宋_GB2312" w:eastAsia="仿宋_GB2312" w:hAnsi="仿宋_GB2312" w:cs="仿宋_GB2312" w:hint="eastAsia"/>
          <w:color w:val="000000"/>
          <w:sz w:val="32"/>
          <w:szCs w:val="32"/>
        </w:rPr>
        <w:t>）、网络功能虚拟化（</w:t>
      </w:r>
      <w:r>
        <w:rPr>
          <w:rFonts w:ascii="仿宋_GB2312" w:eastAsia="仿宋_GB2312" w:hAnsi="仿宋_GB2312" w:cs="仿宋_GB2312" w:hint="eastAsia"/>
          <w:color w:val="000000"/>
          <w:sz w:val="32"/>
          <w:szCs w:val="32"/>
        </w:rPr>
        <w:t>NFV</w:t>
      </w:r>
      <w:r>
        <w:rPr>
          <w:rFonts w:ascii="仿宋_GB2312" w:eastAsia="仿宋_GB2312" w:hAnsi="仿宋_GB2312" w:cs="仿宋_GB2312" w:hint="eastAsia"/>
          <w:color w:val="000000"/>
          <w:sz w:val="32"/>
          <w:szCs w:val="32"/>
        </w:rPr>
        <w:t>）、面向车联网的无线接入技术、操作系统、智</w:t>
      </w:r>
      <w:r>
        <w:rPr>
          <w:rFonts w:ascii="仿宋_GB2312" w:eastAsia="仿宋_GB2312" w:hAnsi="仿宋_GB2312" w:cs="仿宋_GB2312" w:hint="eastAsia"/>
          <w:color w:val="000000"/>
          <w:sz w:val="32"/>
          <w:szCs w:val="32"/>
        </w:rPr>
        <w:t>能感知、智能认知等关键技术突破。突破物联网、大数据、云计算技术瓶颈，关键技术基本实现安全可控。信息通信技术研发和应用在军民融合多领域、多方向实现深度发展。我国主导的国际标准领域和影响力不断扩大。</w:t>
      </w:r>
    </w:p>
    <w:p w:rsidR="00DA02B9" w:rsidRDefault="003229D3" w:rsidP="00881FE9">
      <w:pPr>
        <w:widowControl/>
        <w:ind w:firstLineChars="200" w:firstLine="643"/>
        <w:rPr>
          <w:rFonts w:ascii="仿宋_GB2312" w:eastAsia="仿宋_GB2312" w:hAnsi="仿宋_GB2312" w:cs="仿宋_GB2312"/>
          <w:color w:val="000000"/>
          <w:sz w:val="32"/>
          <w:szCs w:val="32"/>
        </w:rPr>
      </w:pPr>
      <w:r>
        <w:rPr>
          <w:rFonts w:ascii="仿宋_GB2312" w:eastAsia="仿宋_GB2312" w:hAnsi="仿宋_GB2312" w:cs="仿宋_GB2312" w:hint="eastAsia"/>
          <w:b/>
          <w:bCs/>
          <w:color w:val="000000"/>
          <w:sz w:val="32"/>
          <w:szCs w:val="32"/>
        </w:rPr>
        <w:t>——网络与信息安全综合保障能力全面提升。</w:t>
      </w:r>
      <w:r>
        <w:rPr>
          <w:rFonts w:ascii="仿宋_GB2312" w:eastAsia="仿宋_GB2312" w:hAnsi="仿宋_GB2312" w:cs="仿宋_GB2312" w:hint="eastAsia"/>
          <w:color w:val="000000"/>
          <w:sz w:val="32"/>
          <w:szCs w:val="32"/>
        </w:rPr>
        <w:t>网络与信息安全保障体系进一步健全，网络与信息安全责任体系基本建立，关键信息基础设施安全防护能力持续增强，网络数据保护体系构建完善，新技术新业务安全管理机制创新和实践进一步加强，有力带动网络与信息安全相关产业发展。</w:t>
      </w:r>
    </w:p>
    <w:p w:rsidR="00DA02B9" w:rsidRDefault="003229D3" w:rsidP="00881FE9">
      <w:pPr>
        <w:widowControl/>
        <w:ind w:firstLineChars="200" w:firstLine="643"/>
        <w:rPr>
          <w:rFonts w:ascii="仿宋_GB2312" w:eastAsia="仿宋_GB2312" w:hAnsi="仿宋_GB2312" w:cs="仿宋_GB2312"/>
          <w:color w:val="000000"/>
          <w:kern w:val="0"/>
          <w:sz w:val="32"/>
          <w:szCs w:val="32"/>
        </w:rPr>
      </w:pPr>
      <w:r>
        <w:rPr>
          <w:rFonts w:ascii="仿宋_GB2312" w:eastAsia="仿宋_GB2312" w:hAnsi="仿宋_GB2312" w:cs="仿宋_GB2312" w:hint="eastAsia"/>
          <w:b/>
          <w:bCs/>
          <w:color w:val="000000"/>
          <w:kern w:val="0"/>
          <w:sz w:val="32"/>
          <w:szCs w:val="32"/>
        </w:rPr>
        <w:lastRenderedPageBreak/>
        <w:t>——达到与生态文明建设相适应的行业绿色发展水平。</w:t>
      </w:r>
      <w:r>
        <w:rPr>
          <w:rFonts w:ascii="仿宋_GB2312" w:eastAsia="仿宋_GB2312" w:hAnsi="仿宋_GB2312" w:cs="仿宋_GB2312" w:hint="eastAsia"/>
          <w:color w:val="000000"/>
          <w:kern w:val="0"/>
          <w:sz w:val="32"/>
          <w:szCs w:val="32"/>
        </w:rPr>
        <w:t>节能技术广泛应用，高耗能网络设备大规模减少，形成完善的绿色评价体系和机制，能耗持续下降。</w:t>
      </w:r>
    </w:p>
    <w:p w:rsidR="00DA02B9" w:rsidRDefault="003229D3" w:rsidP="00881FE9">
      <w:pPr>
        <w:widowControl/>
        <w:ind w:firstLineChars="200" w:firstLine="643"/>
        <w:rPr>
          <w:rFonts w:ascii="仿宋_GB2312" w:eastAsia="仿宋_GB2312" w:hAnsi="仿宋_GB2312" w:cs="仿宋_GB2312"/>
          <w:color w:val="000000"/>
          <w:sz w:val="32"/>
          <w:szCs w:val="32"/>
        </w:rPr>
      </w:pPr>
      <w:r>
        <w:rPr>
          <w:rFonts w:ascii="仿宋_GB2312" w:eastAsia="仿宋_GB2312" w:hAnsi="仿宋_GB2312" w:cs="仿宋_GB2312" w:hint="eastAsia"/>
          <w:b/>
          <w:bCs/>
          <w:color w:val="000000"/>
          <w:kern w:val="0"/>
          <w:sz w:val="32"/>
          <w:szCs w:val="32"/>
        </w:rPr>
        <w:t>——服务质量整体水平明显提高。</w:t>
      </w:r>
      <w:r>
        <w:rPr>
          <w:rFonts w:ascii="仿宋_GB2312" w:eastAsia="仿宋_GB2312" w:hAnsi="仿宋_GB2312" w:cs="仿宋_GB2312" w:hint="eastAsia"/>
          <w:color w:val="000000"/>
          <w:kern w:val="0"/>
          <w:sz w:val="32"/>
          <w:szCs w:val="32"/>
        </w:rPr>
        <w:t>行业服务质量稳步提升，用户权益得到切实保障</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hint="eastAsia"/>
          <w:color w:val="000000"/>
          <w:kern w:val="0"/>
          <w:sz w:val="32"/>
          <w:szCs w:val="32"/>
        </w:rPr>
        <w:t>互联互通服务水平显著提高。实名制深入推进，用户信息安全得到有效保障，信息通信业服务质量监督管理体系进一步完善。</w:t>
      </w:r>
    </w:p>
    <w:p w:rsidR="00DA02B9" w:rsidRDefault="00DA02B9">
      <w:pPr>
        <w:widowControl/>
        <w:ind w:firstLineChars="200" w:firstLine="640"/>
        <w:rPr>
          <w:rFonts w:ascii="仿宋_GB2312" w:eastAsia="仿宋_GB2312" w:hAnsi="仿宋_GB2312" w:cs="仿宋_GB2312"/>
          <w:color w:val="000000"/>
          <w:kern w:val="0"/>
          <w:sz w:val="32"/>
          <w:szCs w:val="32"/>
        </w:rPr>
      </w:pPr>
    </w:p>
    <w:p w:rsidR="00DA02B9" w:rsidRDefault="003229D3">
      <w:pPr>
        <w:widowControl/>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br w:type="page"/>
      </w:r>
    </w:p>
    <w:p w:rsidR="00DA02B9" w:rsidRDefault="00DA02B9">
      <w:pPr>
        <w:widowControl/>
        <w:ind w:firstLineChars="200" w:firstLine="640"/>
        <w:rPr>
          <w:rFonts w:ascii="仿宋_GB2312" w:eastAsia="仿宋_GB2312" w:hAnsi="仿宋_GB2312" w:cs="仿宋_GB2312"/>
          <w:color w:val="000000"/>
          <w:kern w:val="0"/>
          <w:sz w:val="32"/>
          <w:szCs w:val="32"/>
        </w:rPr>
      </w:pPr>
    </w:p>
    <w:tbl>
      <w:tblPr>
        <w:tblW w:w="8933" w:type="dxa"/>
        <w:jc w:val="center"/>
        <w:tblInd w:w="68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tblPr>
      <w:tblGrid>
        <w:gridCol w:w="1153"/>
        <w:gridCol w:w="3168"/>
        <w:gridCol w:w="1594"/>
        <w:gridCol w:w="1593"/>
        <w:gridCol w:w="1425"/>
      </w:tblGrid>
      <w:tr w:rsidR="00DA02B9">
        <w:trPr>
          <w:trHeight w:val="205"/>
          <w:jc w:val="center"/>
        </w:trPr>
        <w:tc>
          <w:tcPr>
            <w:tcW w:w="8933" w:type="dxa"/>
            <w:gridSpan w:val="5"/>
            <w:vAlign w:val="center"/>
          </w:tcPr>
          <w:p w:rsidR="00DA02B9" w:rsidRDefault="003229D3">
            <w:pPr>
              <w:widowControl/>
              <w:jc w:val="center"/>
              <w:rPr>
                <w:rFonts w:ascii="仿宋_GB2312" w:eastAsia="仿宋_GB2312" w:hAnsi="仿宋_GB2312" w:cs="仿宋_GB2312"/>
                <w:b/>
                <w:color w:val="000000"/>
                <w:kern w:val="0"/>
                <w:sz w:val="24"/>
                <w:szCs w:val="24"/>
              </w:rPr>
            </w:pPr>
            <w:r>
              <w:rPr>
                <w:rFonts w:ascii="仿宋_GB2312" w:eastAsia="仿宋_GB2312" w:hAnsi="仿宋_GB2312" w:cs="仿宋_GB2312" w:hint="eastAsia"/>
                <w:b/>
                <w:color w:val="000000"/>
                <w:sz w:val="24"/>
                <w:szCs w:val="24"/>
              </w:rPr>
              <w:t>专栏</w:t>
            </w:r>
            <w:r>
              <w:rPr>
                <w:rFonts w:ascii="仿宋_GB2312" w:eastAsia="仿宋_GB2312" w:hAnsi="仿宋_GB2312" w:cs="仿宋_GB2312"/>
                <w:b/>
                <w:color w:val="000000"/>
                <w:sz w:val="24"/>
                <w:szCs w:val="24"/>
              </w:rPr>
              <w:t xml:space="preserve">1 </w:t>
            </w:r>
            <w:r>
              <w:rPr>
                <w:rFonts w:ascii="仿宋_GB2312" w:eastAsia="仿宋_GB2312" w:hAnsi="仿宋_GB2312" w:cs="仿宋_GB2312" w:hint="eastAsia"/>
                <w:b/>
                <w:color w:val="000000"/>
                <w:sz w:val="24"/>
                <w:szCs w:val="24"/>
              </w:rPr>
              <w:t>“十三五”时期信息通信业发展主要指标</w:t>
            </w:r>
          </w:p>
        </w:tc>
      </w:tr>
      <w:tr w:rsidR="00DA02B9">
        <w:trPr>
          <w:trHeight w:val="205"/>
          <w:jc w:val="center"/>
        </w:trPr>
        <w:tc>
          <w:tcPr>
            <w:tcW w:w="4321" w:type="dxa"/>
            <w:gridSpan w:val="2"/>
            <w:vAlign w:val="center"/>
          </w:tcPr>
          <w:p w:rsidR="00DA02B9" w:rsidRDefault="003229D3">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指标</w:t>
            </w:r>
          </w:p>
        </w:tc>
        <w:tc>
          <w:tcPr>
            <w:tcW w:w="1594" w:type="dxa"/>
            <w:vAlign w:val="center"/>
          </w:tcPr>
          <w:p w:rsidR="00DA02B9" w:rsidRDefault="003229D3">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color w:val="000000"/>
                <w:kern w:val="0"/>
                <w:sz w:val="24"/>
                <w:szCs w:val="24"/>
              </w:rPr>
              <w:t>2015</w:t>
            </w:r>
            <w:r>
              <w:rPr>
                <w:rFonts w:ascii="仿宋_GB2312" w:eastAsia="仿宋_GB2312" w:hAnsi="仿宋_GB2312" w:cs="仿宋_GB2312"/>
                <w:color w:val="000000"/>
                <w:kern w:val="0"/>
                <w:sz w:val="24"/>
                <w:szCs w:val="24"/>
              </w:rPr>
              <w:t>年基数</w:t>
            </w:r>
          </w:p>
        </w:tc>
        <w:tc>
          <w:tcPr>
            <w:tcW w:w="1593" w:type="dxa"/>
            <w:vAlign w:val="center"/>
          </w:tcPr>
          <w:p w:rsidR="00DA02B9" w:rsidRDefault="003229D3">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color w:val="000000"/>
                <w:kern w:val="0"/>
                <w:sz w:val="24"/>
                <w:szCs w:val="24"/>
              </w:rPr>
              <w:t>2020</w:t>
            </w:r>
            <w:r>
              <w:rPr>
                <w:rFonts w:ascii="仿宋_GB2312" w:eastAsia="仿宋_GB2312" w:hAnsi="仿宋_GB2312" w:cs="仿宋_GB2312"/>
                <w:color w:val="000000"/>
                <w:kern w:val="0"/>
                <w:sz w:val="24"/>
                <w:szCs w:val="24"/>
              </w:rPr>
              <w:t>年目标</w:t>
            </w:r>
          </w:p>
        </w:tc>
        <w:tc>
          <w:tcPr>
            <w:tcW w:w="1425" w:type="dxa"/>
            <w:vAlign w:val="center"/>
          </w:tcPr>
          <w:p w:rsidR="00DA02B9" w:rsidRDefault="003229D3">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年均增速</w:t>
            </w:r>
          </w:p>
          <w:p w:rsidR="00DA02B9" w:rsidRDefault="003229D3">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color w:val="000000"/>
                <w:kern w:val="0"/>
                <w:sz w:val="24"/>
                <w:szCs w:val="24"/>
              </w:rPr>
              <w:t>[</w:t>
            </w:r>
            <w:r>
              <w:rPr>
                <w:rFonts w:ascii="仿宋_GB2312" w:eastAsia="仿宋_GB2312" w:hAnsi="仿宋_GB2312" w:cs="仿宋_GB2312"/>
                <w:color w:val="000000"/>
                <w:kern w:val="0"/>
                <w:sz w:val="24"/>
                <w:szCs w:val="24"/>
              </w:rPr>
              <w:t>累计变化</w:t>
            </w:r>
            <w:r>
              <w:rPr>
                <w:rFonts w:ascii="仿宋_GB2312" w:eastAsia="仿宋_GB2312" w:hAnsi="仿宋_GB2312" w:cs="仿宋_GB2312"/>
                <w:color w:val="000000"/>
                <w:kern w:val="0"/>
                <w:sz w:val="24"/>
                <w:szCs w:val="24"/>
              </w:rPr>
              <w:t>]</w:t>
            </w:r>
          </w:p>
        </w:tc>
      </w:tr>
      <w:tr w:rsidR="00DA02B9">
        <w:trPr>
          <w:trHeight w:val="117"/>
          <w:jc w:val="center"/>
        </w:trPr>
        <w:tc>
          <w:tcPr>
            <w:tcW w:w="8933" w:type="dxa"/>
            <w:gridSpan w:val="5"/>
            <w:tcBorders>
              <w:bottom w:val="single" w:sz="4" w:space="0" w:color="auto"/>
            </w:tcBorders>
            <w:vAlign w:val="center"/>
          </w:tcPr>
          <w:p w:rsidR="00DA02B9" w:rsidRDefault="003229D3">
            <w:pPr>
              <w:pStyle w:val="310"/>
              <w:widowControl/>
              <w:numPr>
                <w:ilvl w:val="0"/>
                <w:numId w:val="1"/>
              </w:numPr>
              <w:ind w:firstLineChars="0"/>
              <w:jc w:val="left"/>
              <w:rPr>
                <w:rFonts w:ascii="仿宋_GB2312" w:eastAsia="仿宋_GB2312" w:hAnsi="仿宋_GB2312" w:cs="仿宋_GB2312"/>
                <w:b/>
                <w:color w:val="000000"/>
                <w:kern w:val="0"/>
                <w:sz w:val="24"/>
                <w:szCs w:val="24"/>
              </w:rPr>
            </w:pPr>
            <w:r>
              <w:rPr>
                <w:rFonts w:ascii="仿宋_GB2312" w:eastAsia="仿宋_GB2312" w:hAnsi="仿宋_GB2312" w:cs="仿宋_GB2312" w:hint="eastAsia"/>
                <w:b/>
                <w:color w:val="000000"/>
                <w:kern w:val="0"/>
                <w:sz w:val="24"/>
                <w:szCs w:val="24"/>
              </w:rPr>
              <w:t>行业规模</w:t>
            </w:r>
          </w:p>
        </w:tc>
      </w:tr>
      <w:tr w:rsidR="00DA02B9">
        <w:trPr>
          <w:trHeight w:val="184"/>
          <w:jc w:val="center"/>
        </w:trPr>
        <w:tc>
          <w:tcPr>
            <w:tcW w:w="4321" w:type="dxa"/>
            <w:gridSpan w:val="2"/>
            <w:tcBorders>
              <w:top w:val="single" w:sz="4" w:space="0" w:color="auto"/>
            </w:tcBorders>
            <w:vAlign w:val="center"/>
          </w:tcPr>
          <w:p w:rsidR="00DA02B9" w:rsidRDefault="003229D3">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w:t>
            </w:r>
            <w:r>
              <w:rPr>
                <w:rFonts w:ascii="仿宋_GB2312" w:eastAsia="仿宋_GB2312" w:hAnsi="仿宋_GB2312" w:cs="仿宋_GB2312"/>
                <w:color w:val="000000"/>
                <w:kern w:val="0"/>
                <w:sz w:val="24"/>
                <w:szCs w:val="24"/>
              </w:rPr>
              <w:t>1</w:t>
            </w:r>
            <w:r>
              <w:rPr>
                <w:rFonts w:ascii="仿宋_GB2312" w:eastAsia="仿宋_GB2312" w:hAnsi="仿宋_GB2312" w:cs="仿宋_GB2312"/>
                <w:color w:val="000000"/>
                <w:kern w:val="0"/>
                <w:sz w:val="24"/>
                <w:szCs w:val="24"/>
              </w:rPr>
              <w:t>）信息通信业收入（万亿元）</w:t>
            </w:r>
          </w:p>
        </w:tc>
        <w:tc>
          <w:tcPr>
            <w:tcW w:w="1594" w:type="dxa"/>
            <w:tcBorders>
              <w:top w:val="single" w:sz="4" w:space="0" w:color="auto"/>
            </w:tcBorders>
            <w:vAlign w:val="center"/>
          </w:tcPr>
          <w:p w:rsidR="00DA02B9" w:rsidRDefault="003229D3">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color w:val="000000"/>
                <w:kern w:val="0"/>
                <w:sz w:val="24"/>
                <w:szCs w:val="24"/>
              </w:rPr>
              <w:t>1.</w:t>
            </w:r>
            <w:r>
              <w:rPr>
                <w:rFonts w:ascii="仿宋_GB2312" w:eastAsia="仿宋_GB2312" w:hAnsi="仿宋_GB2312" w:cs="仿宋_GB2312" w:hint="eastAsia"/>
                <w:color w:val="000000"/>
                <w:kern w:val="0"/>
                <w:sz w:val="24"/>
                <w:szCs w:val="24"/>
              </w:rPr>
              <w:t>7</w:t>
            </w:r>
          </w:p>
        </w:tc>
        <w:tc>
          <w:tcPr>
            <w:tcW w:w="1593" w:type="dxa"/>
            <w:tcBorders>
              <w:top w:val="single" w:sz="4" w:space="0" w:color="auto"/>
            </w:tcBorders>
            <w:vAlign w:val="center"/>
          </w:tcPr>
          <w:p w:rsidR="00DA02B9" w:rsidRDefault="003229D3">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color w:val="000000"/>
                <w:kern w:val="0"/>
                <w:sz w:val="24"/>
                <w:szCs w:val="24"/>
              </w:rPr>
              <w:t>3.5</w:t>
            </w:r>
          </w:p>
        </w:tc>
        <w:tc>
          <w:tcPr>
            <w:tcW w:w="1425" w:type="dxa"/>
            <w:tcBorders>
              <w:top w:val="single" w:sz="4" w:space="0" w:color="auto"/>
            </w:tcBorders>
            <w:vAlign w:val="center"/>
          </w:tcPr>
          <w:p w:rsidR="00DA02B9" w:rsidRDefault="003229D3">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color w:val="000000"/>
                <w:kern w:val="0"/>
                <w:sz w:val="24"/>
                <w:szCs w:val="24"/>
              </w:rPr>
              <w:t>1</w:t>
            </w:r>
            <w:r>
              <w:rPr>
                <w:rFonts w:ascii="仿宋_GB2312" w:eastAsia="仿宋_GB2312" w:hAnsi="仿宋_GB2312" w:cs="仿宋_GB2312" w:hint="eastAsia"/>
                <w:color w:val="000000"/>
                <w:kern w:val="0"/>
                <w:sz w:val="24"/>
                <w:szCs w:val="24"/>
              </w:rPr>
              <w:t>5.5</w:t>
            </w:r>
            <w:r>
              <w:rPr>
                <w:rFonts w:ascii="仿宋_GB2312" w:eastAsia="仿宋_GB2312" w:hAnsi="仿宋_GB2312" w:cs="仿宋_GB2312"/>
                <w:color w:val="000000"/>
                <w:kern w:val="0"/>
                <w:sz w:val="24"/>
                <w:szCs w:val="24"/>
              </w:rPr>
              <w:t>%</w:t>
            </w:r>
          </w:p>
        </w:tc>
      </w:tr>
      <w:tr w:rsidR="00DA02B9">
        <w:trPr>
          <w:trHeight w:val="300"/>
          <w:jc w:val="center"/>
        </w:trPr>
        <w:tc>
          <w:tcPr>
            <w:tcW w:w="4321" w:type="dxa"/>
            <w:gridSpan w:val="2"/>
            <w:vAlign w:val="center"/>
          </w:tcPr>
          <w:p w:rsidR="00DA02B9" w:rsidRDefault="003229D3">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w:t>
            </w:r>
            <w:r>
              <w:rPr>
                <w:rFonts w:ascii="仿宋_GB2312" w:eastAsia="仿宋_GB2312" w:hAnsi="仿宋_GB2312" w:cs="仿宋_GB2312"/>
                <w:color w:val="000000"/>
                <w:kern w:val="0"/>
                <w:sz w:val="24"/>
                <w:szCs w:val="24"/>
              </w:rPr>
              <w:t>2</w:t>
            </w:r>
            <w:r>
              <w:rPr>
                <w:rFonts w:ascii="仿宋_GB2312" w:eastAsia="仿宋_GB2312" w:hAnsi="仿宋_GB2312" w:cs="仿宋_GB2312"/>
                <w:color w:val="000000"/>
                <w:kern w:val="0"/>
                <w:sz w:val="24"/>
                <w:szCs w:val="24"/>
              </w:rPr>
              <w:t>）其中：互联网服务业务收入（万亿元）</w:t>
            </w:r>
          </w:p>
        </w:tc>
        <w:tc>
          <w:tcPr>
            <w:tcW w:w="1594" w:type="dxa"/>
            <w:vAlign w:val="center"/>
          </w:tcPr>
          <w:p w:rsidR="00DA02B9" w:rsidRDefault="003229D3">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color w:val="000000"/>
                <w:kern w:val="0"/>
                <w:sz w:val="24"/>
                <w:szCs w:val="24"/>
              </w:rPr>
              <w:t>1.0</w:t>
            </w:r>
          </w:p>
        </w:tc>
        <w:tc>
          <w:tcPr>
            <w:tcW w:w="1593" w:type="dxa"/>
            <w:vAlign w:val="center"/>
          </w:tcPr>
          <w:p w:rsidR="00DA02B9" w:rsidRDefault="003229D3">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color w:val="000000"/>
                <w:kern w:val="0"/>
                <w:sz w:val="24"/>
                <w:szCs w:val="24"/>
              </w:rPr>
              <w:t>3.0</w:t>
            </w:r>
          </w:p>
        </w:tc>
        <w:tc>
          <w:tcPr>
            <w:tcW w:w="1425" w:type="dxa"/>
            <w:vAlign w:val="center"/>
          </w:tcPr>
          <w:p w:rsidR="00DA02B9" w:rsidRDefault="003229D3">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color w:val="000000"/>
                <w:kern w:val="0"/>
                <w:sz w:val="24"/>
                <w:szCs w:val="24"/>
              </w:rPr>
              <w:t>24.</w:t>
            </w:r>
            <w:r>
              <w:rPr>
                <w:rFonts w:ascii="仿宋_GB2312" w:eastAsia="仿宋_GB2312" w:hAnsi="仿宋_GB2312" w:cs="仿宋_GB2312" w:hint="eastAsia"/>
                <w:color w:val="000000"/>
                <w:kern w:val="0"/>
                <w:sz w:val="24"/>
                <w:szCs w:val="24"/>
              </w:rPr>
              <w:t>6</w:t>
            </w:r>
            <w:r>
              <w:rPr>
                <w:rFonts w:ascii="仿宋_GB2312" w:eastAsia="仿宋_GB2312" w:hAnsi="仿宋_GB2312" w:cs="仿宋_GB2312"/>
                <w:color w:val="000000"/>
                <w:kern w:val="0"/>
                <w:sz w:val="24"/>
                <w:szCs w:val="24"/>
              </w:rPr>
              <w:t>%</w:t>
            </w:r>
          </w:p>
        </w:tc>
      </w:tr>
      <w:tr w:rsidR="00DA02B9">
        <w:trPr>
          <w:trHeight w:val="300"/>
          <w:jc w:val="center"/>
        </w:trPr>
        <w:tc>
          <w:tcPr>
            <w:tcW w:w="4321" w:type="dxa"/>
            <w:gridSpan w:val="2"/>
            <w:vAlign w:val="center"/>
          </w:tcPr>
          <w:p w:rsidR="00DA02B9" w:rsidRDefault="003229D3">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w:t>
            </w:r>
            <w:r>
              <w:rPr>
                <w:rFonts w:ascii="仿宋_GB2312" w:eastAsia="仿宋_GB2312" w:hAnsi="仿宋_GB2312" w:cs="仿宋_GB2312"/>
                <w:color w:val="000000"/>
                <w:kern w:val="0"/>
                <w:sz w:val="24"/>
                <w:szCs w:val="24"/>
              </w:rPr>
              <w:t>3</w:t>
            </w:r>
            <w:r>
              <w:rPr>
                <w:rFonts w:ascii="仿宋_GB2312" w:eastAsia="仿宋_GB2312" w:hAnsi="仿宋_GB2312" w:cs="仿宋_GB2312"/>
                <w:color w:val="000000"/>
                <w:kern w:val="0"/>
                <w:sz w:val="24"/>
                <w:szCs w:val="24"/>
              </w:rPr>
              <w:t>）信息通信基础设施累计投资（万亿元）</w:t>
            </w:r>
          </w:p>
        </w:tc>
        <w:tc>
          <w:tcPr>
            <w:tcW w:w="1594" w:type="dxa"/>
            <w:vAlign w:val="center"/>
          </w:tcPr>
          <w:p w:rsidR="00DA02B9" w:rsidRDefault="003229D3">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color w:val="000000"/>
                <w:kern w:val="0"/>
                <w:sz w:val="24"/>
                <w:szCs w:val="24"/>
              </w:rPr>
              <w:t>1.9</w:t>
            </w:r>
            <w:r>
              <w:rPr>
                <w:rFonts w:ascii="仿宋_GB2312" w:eastAsia="仿宋_GB2312" w:hAnsi="仿宋_GB2312" w:cs="仿宋_GB2312"/>
                <w:color w:val="000000"/>
                <w:kern w:val="0"/>
                <w:sz w:val="24"/>
                <w:szCs w:val="24"/>
              </w:rPr>
              <w:t>（十二五）</w:t>
            </w:r>
          </w:p>
        </w:tc>
        <w:tc>
          <w:tcPr>
            <w:tcW w:w="1593" w:type="dxa"/>
            <w:vAlign w:val="center"/>
          </w:tcPr>
          <w:p w:rsidR="00DA02B9" w:rsidRDefault="003229D3">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color w:val="000000"/>
                <w:kern w:val="0"/>
                <w:sz w:val="24"/>
                <w:szCs w:val="24"/>
              </w:rPr>
              <w:t>2</w:t>
            </w:r>
            <w:r>
              <w:rPr>
                <w:rFonts w:ascii="仿宋_GB2312" w:eastAsia="仿宋_GB2312" w:hAnsi="仿宋_GB2312" w:cs="仿宋_GB2312"/>
                <w:color w:val="000000"/>
                <w:kern w:val="0"/>
                <w:sz w:val="24"/>
                <w:szCs w:val="24"/>
              </w:rPr>
              <w:t>（十三五）</w:t>
            </w:r>
          </w:p>
        </w:tc>
        <w:tc>
          <w:tcPr>
            <w:tcW w:w="1425" w:type="dxa"/>
            <w:vAlign w:val="center"/>
          </w:tcPr>
          <w:p w:rsidR="00DA02B9" w:rsidRDefault="003229D3">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color w:val="000000"/>
                <w:kern w:val="0"/>
                <w:sz w:val="24"/>
                <w:szCs w:val="24"/>
              </w:rPr>
              <w:t>[0.1]</w:t>
            </w:r>
          </w:p>
        </w:tc>
      </w:tr>
      <w:tr w:rsidR="00DA02B9">
        <w:trPr>
          <w:trHeight w:val="134"/>
          <w:jc w:val="center"/>
        </w:trPr>
        <w:tc>
          <w:tcPr>
            <w:tcW w:w="8933" w:type="dxa"/>
            <w:gridSpan w:val="5"/>
            <w:tcBorders>
              <w:bottom w:val="single" w:sz="4" w:space="0" w:color="auto"/>
            </w:tcBorders>
            <w:vAlign w:val="center"/>
          </w:tcPr>
          <w:p w:rsidR="00DA02B9" w:rsidRDefault="003229D3">
            <w:pPr>
              <w:pStyle w:val="310"/>
              <w:widowControl/>
              <w:numPr>
                <w:ilvl w:val="0"/>
                <w:numId w:val="1"/>
              </w:numPr>
              <w:ind w:firstLineChars="0"/>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b/>
                <w:color w:val="000000"/>
                <w:kern w:val="0"/>
                <w:sz w:val="24"/>
                <w:szCs w:val="24"/>
              </w:rPr>
              <w:t>发展水平</w:t>
            </w:r>
          </w:p>
        </w:tc>
      </w:tr>
      <w:tr w:rsidR="00DA02B9">
        <w:trPr>
          <w:trHeight w:val="167"/>
          <w:jc w:val="center"/>
        </w:trPr>
        <w:tc>
          <w:tcPr>
            <w:tcW w:w="4321" w:type="dxa"/>
            <w:gridSpan w:val="2"/>
            <w:tcBorders>
              <w:top w:val="single" w:sz="4" w:space="0" w:color="auto"/>
            </w:tcBorders>
            <w:vAlign w:val="center"/>
          </w:tcPr>
          <w:p w:rsidR="00DA02B9" w:rsidRDefault="003229D3">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w:t>
            </w:r>
            <w:r>
              <w:rPr>
                <w:rFonts w:ascii="仿宋_GB2312" w:eastAsia="仿宋_GB2312" w:hAnsi="仿宋_GB2312" w:cs="仿宋_GB2312"/>
                <w:color w:val="000000"/>
                <w:kern w:val="0"/>
                <w:sz w:val="24"/>
                <w:szCs w:val="24"/>
              </w:rPr>
              <w:t>4</w:t>
            </w:r>
            <w:r>
              <w:rPr>
                <w:rFonts w:ascii="仿宋_GB2312" w:eastAsia="仿宋_GB2312" w:hAnsi="仿宋_GB2312" w:cs="仿宋_GB2312"/>
                <w:color w:val="000000"/>
                <w:kern w:val="0"/>
                <w:sz w:val="24"/>
                <w:szCs w:val="24"/>
              </w:rPr>
              <w:t>）</w:t>
            </w:r>
            <w:r>
              <w:rPr>
                <w:rFonts w:ascii="仿宋_GB2312" w:eastAsia="仿宋_GB2312" w:hAnsi="仿宋_GB2312" w:cs="仿宋_GB2312"/>
                <w:color w:val="000000"/>
                <w:kern w:val="0"/>
                <w:sz w:val="24"/>
                <w:szCs w:val="24"/>
              </w:rPr>
              <w:t>ICT</w:t>
            </w:r>
            <w:r>
              <w:rPr>
                <w:rFonts w:ascii="仿宋_GB2312" w:eastAsia="仿宋_GB2312" w:hAnsi="仿宋_GB2312" w:cs="仿宋_GB2312"/>
                <w:color w:val="000000"/>
                <w:kern w:val="0"/>
                <w:sz w:val="24"/>
                <w:szCs w:val="24"/>
              </w:rPr>
              <w:t>发展指数（</w:t>
            </w:r>
            <w:r>
              <w:rPr>
                <w:rFonts w:ascii="仿宋_GB2312" w:eastAsia="仿宋_GB2312" w:hAnsi="仿宋_GB2312" w:cs="仿宋_GB2312"/>
                <w:color w:val="000000"/>
                <w:kern w:val="0"/>
                <w:sz w:val="24"/>
                <w:szCs w:val="24"/>
              </w:rPr>
              <w:t>IDI</w:t>
            </w:r>
            <w:r>
              <w:rPr>
                <w:rFonts w:ascii="仿宋_GB2312" w:eastAsia="仿宋_GB2312" w:hAnsi="仿宋_GB2312" w:cs="仿宋_GB2312"/>
                <w:color w:val="000000"/>
                <w:kern w:val="0"/>
                <w:sz w:val="24"/>
                <w:szCs w:val="24"/>
              </w:rPr>
              <w:t>）全球排名</w:t>
            </w:r>
          </w:p>
        </w:tc>
        <w:tc>
          <w:tcPr>
            <w:tcW w:w="1594" w:type="dxa"/>
            <w:tcBorders>
              <w:top w:val="single" w:sz="4" w:space="0" w:color="auto"/>
            </w:tcBorders>
            <w:vAlign w:val="center"/>
          </w:tcPr>
          <w:p w:rsidR="00DA02B9" w:rsidRDefault="003229D3">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color w:val="000000"/>
                <w:kern w:val="0"/>
                <w:sz w:val="24"/>
                <w:szCs w:val="24"/>
              </w:rPr>
              <w:t>82</w:t>
            </w:r>
          </w:p>
        </w:tc>
        <w:tc>
          <w:tcPr>
            <w:tcW w:w="1593" w:type="dxa"/>
            <w:tcBorders>
              <w:top w:val="single" w:sz="4" w:space="0" w:color="auto"/>
            </w:tcBorders>
            <w:vAlign w:val="center"/>
          </w:tcPr>
          <w:p w:rsidR="00DA02B9" w:rsidRDefault="003229D3">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72</w:t>
            </w:r>
          </w:p>
        </w:tc>
        <w:tc>
          <w:tcPr>
            <w:tcW w:w="1425" w:type="dxa"/>
            <w:tcBorders>
              <w:top w:val="single" w:sz="4" w:space="0" w:color="auto"/>
            </w:tcBorders>
            <w:vAlign w:val="center"/>
          </w:tcPr>
          <w:p w:rsidR="00DA02B9" w:rsidRDefault="003229D3">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kern w:val="0"/>
                <w:sz w:val="24"/>
                <w:szCs w:val="24"/>
              </w:rPr>
              <w:t>[1</w:t>
            </w:r>
            <w:r>
              <w:rPr>
                <w:rFonts w:ascii="仿宋_GB2312" w:eastAsia="仿宋_GB2312" w:hAnsi="仿宋_GB2312" w:cs="仿宋_GB2312" w:hint="eastAsia"/>
                <w:kern w:val="0"/>
                <w:sz w:val="24"/>
                <w:szCs w:val="24"/>
              </w:rPr>
              <w:t>0</w:t>
            </w:r>
            <w:r>
              <w:rPr>
                <w:rFonts w:ascii="仿宋_GB2312" w:eastAsia="仿宋_GB2312" w:hAnsi="仿宋_GB2312" w:cs="仿宋_GB2312"/>
                <w:kern w:val="0"/>
                <w:sz w:val="24"/>
                <w:szCs w:val="24"/>
              </w:rPr>
              <w:t>]</w:t>
            </w:r>
          </w:p>
        </w:tc>
      </w:tr>
      <w:tr w:rsidR="00DA02B9">
        <w:trPr>
          <w:trHeight w:val="293"/>
          <w:jc w:val="center"/>
        </w:trPr>
        <w:tc>
          <w:tcPr>
            <w:tcW w:w="1153" w:type="dxa"/>
            <w:vMerge w:val="restart"/>
            <w:vAlign w:val="center"/>
          </w:tcPr>
          <w:p w:rsidR="00DA02B9" w:rsidRDefault="003229D3">
            <w:pPr>
              <w:ind w:left="137" w:hanging="139"/>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w:t>
            </w:r>
            <w:r>
              <w:rPr>
                <w:rFonts w:ascii="仿宋_GB2312" w:eastAsia="仿宋_GB2312" w:hAnsi="仿宋_GB2312" w:cs="仿宋_GB2312"/>
                <w:color w:val="000000"/>
                <w:kern w:val="0"/>
                <w:sz w:val="24"/>
                <w:szCs w:val="24"/>
              </w:rPr>
              <w:t>5</w:t>
            </w:r>
            <w:r>
              <w:rPr>
                <w:rFonts w:ascii="仿宋_GB2312" w:eastAsia="仿宋_GB2312" w:hAnsi="仿宋_GB2312" w:cs="仿宋_GB2312"/>
                <w:color w:val="000000"/>
                <w:kern w:val="0"/>
                <w:sz w:val="24"/>
                <w:szCs w:val="24"/>
              </w:rPr>
              <w:t>）互联网普及率</w:t>
            </w:r>
          </w:p>
        </w:tc>
        <w:tc>
          <w:tcPr>
            <w:tcW w:w="3168" w:type="dxa"/>
            <w:vAlign w:val="center"/>
          </w:tcPr>
          <w:p w:rsidR="00DA02B9" w:rsidRDefault="003229D3">
            <w:pPr>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移动宽带用户普及率（</w:t>
            </w:r>
            <w:r>
              <w:rPr>
                <w:rFonts w:ascii="仿宋_GB2312" w:eastAsia="仿宋_GB2312" w:hAnsi="仿宋_GB2312" w:cs="仿宋_GB2312"/>
                <w:color w:val="000000"/>
                <w:kern w:val="0"/>
                <w:sz w:val="24"/>
                <w:szCs w:val="24"/>
              </w:rPr>
              <w:t>%</w:t>
            </w:r>
            <w:r>
              <w:rPr>
                <w:rFonts w:ascii="仿宋_GB2312" w:eastAsia="仿宋_GB2312" w:hAnsi="仿宋_GB2312" w:cs="仿宋_GB2312"/>
                <w:color w:val="000000"/>
                <w:kern w:val="0"/>
                <w:sz w:val="24"/>
                <w:szCs w:val="24"/>
              </w:rPr>
              <w:t>）</w:t>
            </w:r>
          </w:p>
        </w:tc>
        <w:tc>
          <w:tcPr>
            <w:tcW w:w="1594" w:type="dxa"/>
            <w:vAlign w:val="center"/>
          </w:tcPr>
          <w:p w:rsidR="00DA02B9" w:rsidRDefault="003229D3">
            <w:pPr>
              <w:jc w:val="center"/>
              <w:rPr>
                <w:rFonts w:ascii="仿宋_GB2312" w:eastAsia="仿宋_GB2312" w:hAnsi="仿宋_GB2312" w:cs="仿宋_GB2312"/>
                <w:color w:val="000000"/>
                <w:kern w:val="0"/>
                <w:sz w:val="24"/>
                <w:szCs w:val="24"/>
              </w:rPr>
            </w:pPr>
            <w:r>
              <w:rPr>
                <w:rFonts w:ascii="仿宋_GB2312" w:eastAsia="仿宋_GB2312" w:hAnsi="仿宋_GB2312" w:cs="仿宋_GB2312"/>
                <w:color w:val="000000"/>
                <w:kern w:val="0"/>
                <w:sz w:val="24"/>
                <w:szCs w:val="24"/>
              </w:rPr>
              <w:t>57</w:t>
            </w:r>
          </w:p>
        </w:tc>
        <w:tc>
          <w:tcPr>
            <w:tcW w:w="1593" w:type="dxa"/>
            <w:vAlign w:val="center"/>
          </w:tcPr>
          <w:p w:rsidR="00DA02B9" w:rsidRDefault="003229D3">
            <w:pPr>
              <w:jc w:val="center"/>
              <w:rPr>
                <w:rFonts w:ascii="仿宋_GB2312" w:eastAsia="仿宋_GB2312" w:hAnsi="仿宋_GB2312" w:cs="仿宋_GB2312"/>
                <w:color w:val="000000"/>
                <w:kern w:val="0"/>
                <w:sz w:val="24"/>
                <w:szCs w:val="24"/>
              </w:rPr>
            </w:pPr>
            <w:r>
              <w:rPr>
                <w:rFonts w:ascii="仿宋_GB2312" w:eastAsia="仿宋_GB2312" w:hAnsi="仿宋_GB2312" w:cs="仿宋_GB2312"/>
                <w:color w:val="000000"/>
                <w:kern w:val="0"/>
                <w:sz w:val="24"/>
                <w:szCs w:val="24"/>
              </w:rPr>
              <w:t>85</w:t>
            </w:r>
          </w:p>
        </w:tc>
        <w:tc>
          <w:tcPr>
            <w:tcW w:w="1425" w:type="dxa"/>
            <w:vAlign w:val="center"/>
          </w:tcPr>
          <w:p w:rsidR="00DA02B9" w:rsidRDefault="003229D3">
            <w:pPr>
              <w:jc w:val="center"/>
              <w:rPr>
                <w:rFonts w:ascii="仿宋_GB2312" w:eastAsia="仿宋_GB2312" w:hAnsi="仿宋_GB2312" w:cs="仿宋_GB2312"/>
                <w:color w:val="000000"/>
                <w:kern w:val="0"/>
                <w:sz w:val="24"/>
                <w:szCs w:val="24"/>
              </w:rPr>
            </w:pPr>
            <w:r>
              <w:rPr>
                <w:rFonts w:ascii="仿宋_GB2312" w:eastAsia="仿宋_GB2312" w:hAnsi="仿宋_GB2312" w:cs="仿宋_GB2312"/>
                <w:color w:val="000000"/>
                <w:kern w:val="0"/>
                <w:sz w:val="24"/>
                <w:szCs w:val="24"/>
              </w:rPr>
              <w:t>[28]</w:t>
            </w:r>
          </w:p>
        </w:tc>
      </w:tr>
      <w:tr w:rsidR="00DA02B9">
        <w:trPr>
          <w:trHeight w:val="300"/>
          <w:jc w:val="center"/>
        </w:trPr>
        <w:tc>
          <w:tcPr>
            <w:tcW w:w="1153" w:type="dxa"/>
            <w:vMerge/>
            <w:vAlign w:val="center"/>
          </w:tcPr>
          <w:p w:rsidR="00DA02B9" w:rsidRDefault="00DA02B9">
            <w:pPr>
              <w:keepNext/>
              <w:keepLines/>
              <w:widowControl/>
              <w:spacing w:before="340" w:after="330" w:line="576" w:lineRule="auto"/>
              <w:ind w:left="137" w:hanging="139"/>
              <w:jc w:val="left"/>
              <w:outlineLvl w:val="0"/>
              <w:rPr>
                <w:rFonts w:ascii="仿宋_GB2312" w:eastAsia="仿宋_GB2312" w:hAnsi="仿宋_GB2312" w:cs="仿宋_GB2312"/>
                <w:color w:val="000000"/>
                <w:kern w:val="0"/>
                <w:sz w:val="24"/>
                <w:szCs w:val="24"/>
              </w:rPr>
            </w:pPr>
          </w:p>
        </w:tc>
        <w:tc>
          <w:tcPr>
            <w:tcW w:w="3168" w:type="dxa"/>
            <w:vAlign w:val="center"/>
          </w:tcPr>
          <w:p w:rsidR="00DA02B9" w:rsidRDefault="003229D3">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固定宽带家庭普及率（</w:t>
            </w:r>
            <w:r>
              <w:rPr>
                <w:rFonts w:ascii="仿宋_GB2312" w:eastAsia="仿宋_GB2312" w:hAnsi="仿宋_GB2312" w:cs="仿宋_GB2312"/>
                <w:color w:val="000000"/>
                <w:kern w:val="0"/>
                <w:sz w:val="24"/>
                <w:szCs w:val="24"/>
              </w:rPr>
              <w:t>%</w:t>
            </w:r>
            <w:r>
              <w:rPr>
                <w:rFonts w:ascii="仿宋_GB2312" w:eastAsia="仿宋_GB2312" w:hAnsi="仿宋_GB2312" w:cs="仿宋_GB2312"/>
                <w:color w:val="000000"/>
                <w:kern w:val="0"/>
                <w:sz w:val="24"/>
                <w:szCs w:val="24"/>
              </w:rPr>
              <w:t>）</w:t>
            </w:r>
          </w:p>
        </w:tc>
        <w:tc>
          <w:tcPr>
            <w:tcW w:w="1594" w:type="dxa"/>
            <w:vAlign w:val="center"/>
          </w:tcPr>
          <w:p w:rsidR="00DA02B9" w:rsidRDefault="003229D3">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color w:val="000000"/>
                <w:kern w:val="0"/>
                <w:sz w:val="24"/>
                <w:szCs w:val="24"/>
              </w:rPr>
              <w:t>40</w:t>
            </w:r>
          </w:p>
        </w:tc>
        <w:tc>
          <w:tcPr>
            <w:tcW w:w="1593" w:type="dxa"/>
            <w:vAlign w:val="center"/>
          </w:tcPr>
          <w:p w:rsidR="00DA02B9" w:rsidRDefault="003229D3">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color w:val="000000"/>
                <w:kern w:val="0"/>
                <w:sz w:val="24"/>
                <w:szCs w:val="24"/>
              </w:rPr>
              <w:t>70</w:t>
            </w:r>
          </w:p>
        </w:tc>
        <w:tc>
          <w:tcPr>
            <w:tcW w:w="1425" w:type="dxa"/>
            <w:vAlign w:val="center"/>
          </w:tcPr>
          <w:p w:rsidR="00DA02B9" w:rsidRDefault="003229D3">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color w:val="000000"/>
                <w:kern w:val="0"/>
                <w:sz w:val="24"/>
                <w:szCs w:val="24"/>
              </w:rPr>
              <w:t>[30]</w:t>
            </w:r>
          </w:p>
        </w:tc>
      </w:tr>
      <w:tr w:rsidR="00DA02B9">
        <w:trPr>
          <w:trHeight w:val="400"/>
          <w:jc w:val="center"/>
        </w:trPr>
        <w:tc>
          <w:tcPr>
            <w:tcW w:w="4321" w:type="dxa"/>
            <w:gridSpan w:val="2"/>
            <w:vAlign w:val="center"/>
          </w:tcPr>
          <w:p w:rsidR="00DA02B9" w:rsidRDefault="003229D3">
            <w:pPr>
              <w:ind w:left="137" w:hanging="139"/>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w:t>
            </w:r>
            <w:r>
              <w:rPr>
                <w:rFonts w:ascii="仿宋_GB2312" w:eastAsia="仿宋_GB2312" w:hAnsi="仿宋_GB2312" w:cs="仿宋_GB2312"/>
                <w:color w:val="000000"/>
                <w:kern w:val="0"/>
                <w:sz w:val="24"/>
                <w:szCs w:val="24"/>
              </w:rPr>
              <w:t>6</w:t>
            </w:r>
            <w:r>
              <w:rPr>
                <w:rFonts w:ascii="仿宋_GB2312" w:eastAsia="仿宋_GB2312" w:hAnsi="仿宋_GB2312" w:cs="仿宋_GB2312"/>
                <w:color w:val="000000"/>
                <w:kern w:val="0"/>
                <w:sz w:val="24"/>
                <w:szCs w:val="24"/>
              </w:rPr>
              <w:t>）</w:t>
            </w:r>
            <w:r>
              <w:rPr>
                <w:rFonts w:ascii="仿宋_GB2312" w:eastAsia="仿宋_GB2312" w:hAnsi="仿宋_GB2312" w:cs="仿宋_GB2312" w:hint="eastAsia"/>
                <w:color w:val="000000"/>
                <w:kern w:val="0"/>
                <w:sz w:val="24"/>
                <w:szCs w:val="24"/>
              </w:rPr>
              <w:t>域名数（万个）</w:t>
            </w:r>
          </w:p>
        </w:tc>
        <w:tc>
          <w:tcPr>
            <w:tcW w:w="1594" w:type="dxa"/>
            <w:vAlign w:val="center"/>
          </w:tcPr>
          <w:p w:rsidR="00DA02B9" w:rsidRDefault="003229D3">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color w:val="000000"/>
                <w:kern w:val="0"/>
                <w:sz w:val="24"/>
                <w:szCs w:val="24"/>
              </w:rPr>
              <w:t>3102</w:t>
            </w:r>
          </w:p>
        </w:tc>
        <w:tc>
          <w:tcPr>
            <w:tcW w:w="1593" w:type="dxa"/>
            <w:vAlign w:val="center"/>
          </w:tcPr>
          <w:p w:rsidR="00DA02B9" w:rsidRDefault="003229D3">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color w:val="000000"/>
                <w:kern w:val="0"/>
                <w:sz w:val="24"/>
                <w:szCs w:val="24"/>
              </w:rPr>
              <w:t>5300</w:t>
            </w:r>
          </w:p>
        </w:tc>
        <w:tc>
          <w:tcPr>
            <w:tcW w:w="1425" w:type="dxa"/>
            <w:vAlign w:val="center"/>
          </w:tcPr>
          <w:p w:rsidR="00DA02B9" w:rsidRDefault="003229D3">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color w:val="000000"/>
                <w:kern w:val="0"/>
                <w:sz w:val="24"/>
                <w:szCs w:val="24"/>
              </w:rPr>
              <w:t>11.3%</w:t>
            </w:r>
          </w:p>
        </w:tc>
      </w:tr>
      <w:tr w:rsidR="00DA02B9">
        <w:trPr>
          <w:trHeight w:val="300"/>
          <w:jc w:val="center"/>
        </w:trPr>
        <w:tc>
          <w:tcPr>
            <w:tcW w:w="4321" w:type="dxa"/>
            <w:gridSpan w:val="2"/>
            <w:vAlign w:val="center"/>
          </w:tcPr>
          <w:p w:rsidR="00DA02B9" w:rsidRDefault="003229D3">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w:t>
            </w:r>
            <w:r>
              <w:rPr>
                <w:rFonts w:ascii="仿宋_GB2312" w:eastAsia="仿宋_GB2312" w:hAnsi="仿宋_GB2312" w:cs="仿宋_GB2312"/>
                <w:color w:val="000000"/>
                <w:kern w:val="0"/>
                <w:sz w:val="24"/>
                <w:szCs w:val="24"/>
              </w:rPr>
              <w:t>7</w:t>
            </w:r>
            <w:r>
              <w:rPr>
                <w:rFonts w:ascii="仿宋_GB2312" w:eastAsia="仿宋_GB2312" w:hAnsi="仿宋_GB2312" w:cs="仿宋_GB2312"/>
                <w:color w:val="000000"/>
                <w:kern w:val="0"/>
                <w:sz w:val="24"/>
                <w:szCs w:val="24"/>
              </w:rPr>
              <w:t>）</w:t>
            </w:r>
            <w:r>
              <w:rPr>
                <w:rFonts w:ascii="仿宋_GB2312" w:eastAsia="仿宋_GB2312" w:hAnsi="仿宋_GB2312" w:cs="仿宋_GB2312" w:hint="eastAsia"/>
                <w:color w:val="000000"/>
                <w:kern w:val="0"/>
                <w:sz w:val="24"/>
                <w:szCs w:val="24"/>
              </w:rPr>
              <w:t>国际出入口业务带宽（太比特每秒</w:t>
            </w:r>
            <w:r>
              <w:rPr>
                <w:rFonts w:ascii="仿宋_GB2312" w:eastAsia="仿宋_GB2312" w:hAnsi="仿宋_GB2312" w:cs="仿宋_GB2312"/>
                <w:color w:val="000000"/>
                <w:kern w:val="0"/>
                <w:sz w:val="24"/>
                <w:szCs w:val="24"/>
              </w:rPr>
              <w:t>）</w:t>
            </w:r>
          </w:p>
        </w:tc>
        <w:tc>
          <w:tcPr>
            <w:tcW w:w="1594" w:type="dxa"/>
            <w:vAlign w:val="center"/>
          </w:tcPr>
          <w:p w:rsidR="00DA02B9" w:rsidRDefault="003229D3">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color w:val="000000"/>
                <w:kern w:val="0"/>
                <w:sz w:val="24"/>
                <w:szCs w:val="24"/>
              </w:rPr>
              <w:t>3.8</w:t>
            </w:r>
          </w:p>
        </w:tc>
        <w:tc>
          <w:tcPr>
            <w:tcW w:w="1593" w:type="dxa"/>
            <w:vAlign w:val="center"/>
          </w:tcPr>
          <w:p w:rsidR="00DA02B9" w:rsidRDefault="003229D3">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color w:val="000000"/>
                <w:kern w:val="0"/>
                <w:sz w:val="24"/>
                <w:szCs w:val="24"/>
              </w:rPr>
              <w:t>20</w:t>
            </w:r>
          </w:p>
        </w:tc>
        <w:tc>
          <w:tcPr>
            <w:tcW w:w="1425" w:type="dxa"/>
            <w:vAlign w:val="center"/>
          </w:tcPr>
          <w:p w:rsidR="00DA02B9" w:rsidRDefault="003229D3">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color w:val="000000"/>
                <w:kern w:val="0"/>
                <w:sz w:val="24"/>
                <w:szCs w:val="24"/>
              </w:rPr>
              <w:t>39.4%</w:t>
            </w:r>
          </w:p>
        </w:tc>
      </w:tr>
      <w:tr w:rsidR="00DA02B9">
        <w:trPr>
          <w:trHeight w:val="300"/>
          <w:jc w:val="center"/>
        </w:trPr>
        <w:tc>
          <w:tcPr>
            <w:tcW w:w="4321" w:type="dxa"/>
            <w:gridSpan w:val="2"/>
            <w:vAlign w:val="center"/>
          </w:tcPr>
          <w:p w:rsidR="00DA02B9" w:rsidRDefault="003229D3">
            <w:pPr>
              <w:widowControl/>
              <w:ind w:left="137" w:hanging="139"/>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w:t>
            </w:r>
            <w:r>
              <w:rPr>
                <w:rFonts w:ascii="仿宋_GB2312" w:eastAsia="仿宋_GB2312" w:hAnsi="仿宋_GB2312" w:cs="仿宋_GB2312"/>
                <w:color w:val="000000"/>
                <w:kern w:val="0"/>
                <w:sz w:val="24"/>
                <w:szCs w:val="24"/>
              </w:rPr>
              <w:t>8</w:t>
            </w:r>
            <w:r>
              <w:rPr>
                <w:rFonts w:ascii="仿宋_GB2312" w:eastAsia="仿宋_GB2312" w:hAnsi="仿宋_GB2312" w:cs="仿宋_GB2312"/>
                <w:color w:val="000000"/>
                <w:kern w:val="0"/>
                <w:sz w:val="24"/>
                <w:szCs w:val="24"/>
              </w:rPr>
              <w:t>）</w:t>
            </w:r>
            <w:r>
              <w:rPr>
                <w:rFonts w:ascii="仿宋_GB2312" w:eastAsia="仿宋_GB2312" w:hAnsi="仿宋_GB2312" w:cs="仿宋_GB2312" w:hint="eastAsia"/>
                <w:color w:val="000000"/>
                <w:kern w:val="0"/>
                <w:sz w:val="24"/>
                <w:szCs w:val="24"/>
              </w:rPr>
              <w:t>国内市场活跃</w:t>
            </w:r>
            <w:r>
              <w:rPr>
                <w:rFonts w:ascii="仿宋_GB2312" w:eastAsia="仿宋_GB2312" w:hAnsi="仿宋_GB2312" w:cs="仿宋_GB2312"/>
                <w:color w:val="000000"/>
                <w:kern w:val="0"/>
                <w:sz w:val="24"/>
                <w:szCs w:val="24"/>
              </w:rPr>
              <w:t>APP</w:t>
            </w:r>
            <w:r>
              <w:rPr>
                <w:rFonts w:ascii="仿宋_GB2312" w:eastAsia="仿宋_GB2312" w:hAnsi="仿宋_GB2312" w:cs="仿宋_GB2312"/>
                <w:color w:val="000000"/>
                <w:kern w:val="0"/>
                <w:sz w:val="24"/>
                <w:szCs w:val="24"/>
              </w:rPr>
              <w:t>应用规模（万个）</w:t>
            </w:r>
          </w:p>
        </w:tc>
        <w:tc>
          <w:tcPr>
            <w:tcW w:w="1594" w:type="dxa"/>
            <w:vAlign w:val="center"/>
          </w:tcPr>
          <w:p w:rsidR="00DA02B9" w:rsidRDefault="003229D3">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color w:val="000000"/>
                <w:kern w:val="0"/>
                <w:sz w:val="24"/>
                <w:szCs w:val="24"/>
              </w:rPr>
              <w:t>600</w:t>
            </w:r>
          </w:p>
        </w:tc>
        <w:tc>
          <w:tcPr>
            <w:tcW w:w="1593" w:type="dxa"/>
            <w:vAlign w:val="center"/>
          </w:tcPr>
          <w:p w:rsidR="00DA02B9" w:rsidRDefault="003229D3">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color w:val="000000"/>
                <w:kern w:val="0"/>
                <w:sz w:val="24"/>
                <w:szCs w:val="24"/>
              </w:rPr>
              <w:t>900</w:t>
            </w:r>
          </w:p>
        </w:tc>
        <w:tc>
          <w:tcPr>
            <w:tcW w:w="1425" w:type="dxa"/>
            <w:vAlign w:val="center"/>
          </w:tcPr>
          <w:p w:rsidR="00DA02B9" w:rsidRDefault="003229D3">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color w:val="000000"/>
                <w:kern w:val="0"/>
                <w:sz w:val="20"/>
                <w:szCs w:val="24"/>
              </w:rPr>
              <w:t>[</w:t>
            </w:r>
            <w:r>
              <w:rPr>
                <w:rFonts w:ascii="仿宋_GB2312" w:eastAsia="仿宋_GB2312" w:hAnsi="仿宋_GB2312" w:cs="仿宋_GB2312"/>
                <w:color w:val="000000"/>
                <w:kern w:val="0"/>
                <w:sz w:val="24"/>
                <w:szCs w:val="24"/>
              </w:rPr>
              <w:t>300]</w:t>
            </w:r>
          </w:p>
        </w:tc>
      </w:tr>
      <w:tr w:rsidR="00DA02B9">
        <w:trPr>
          <w:trHeight w:val="300"/>
          <w:jc w:val="center"/>
        </w:trPr>
        <w:tc>
          <w:tcPr>
            <w:tcW w:w="4321" w:type="dxa"/>
            <w:gridSpan w:val="2"/>
            <w:vAlign w:val="center"/>
          </w:tcPr>
          <w:p w:rsidR="00DA02B9" w:rsidRDefault="003229D3">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w:t>
            </w:r>
            <w:r>
              <w:rPr>
                <w:rFonts w:ascii="仿宋_GB2312" w:eastAsia="仿宋_GB2312" w:hAnsi="仿宋_GB2312" w:cs="仿宋_GB2312"/>
                <w:color w:val="000000"/>
                <w:kern w:val="0"/>
                <w:sz w:val="24"/>
                <w:szCs w:val="24"/>
              </w:rPr>
              <w:t>9</w:t>
            </w:r>
            <w:r>
              <w:rPr>
                <w:rFonts w:ascii="仿宋_GB2312" w:eastAsia="仿宋_GB2312" w:hAnsi="仿宋_GB2312" w:cs="仿宋_GB2312"/>
                <w:color w:val="000000"/>
                <w:kern w:val="0"/>
                <w:sz w:val="24"/>
                <w:szCs w:val="24"/>
              </w:rPr>
              <w:t>）</w:t>
            </w:r>
            <w:r>
              <w:rPr>
                <w:rFonts w:ascii="仿宋_GB2312" w:eastAsia="仿宋_GB2312" w:hAnsi="仿宋_GB2312" w:cs="仿宋_GB2312" w:hint="eastAsia"/>
                <w:color w:val="000000"/>
                <w:kern w:val="0"/>
                <w:sz w:val="24"/>
                <w:szCs w:val="24"/>
              </w:rPr>
              <w:t>网站数</w:t>
            </w:r>
            <w:r>
              <w:rPr>
                <w:rFonts w:ascii="仿宋_GB2312" w:eastAsia="仿宋_GB2312" w:hAnsi="仿宋_GB2312" w:cs="仿宋_GB2312"/>
                <w:color w:val="000000"/>
                <w:kern w:val="0"/>
                <w:sz w:val="24"/>
                <w:szCs w:val="24"/>
              </w:rPr>
              <w:t>(</w:t>
            </w:r>
            <w:r>
              <w:rPr>
                <w:rFonts w:ascii="仿宋_GB2312" w:eastAsia="仿宋_GB2312" w:hAnsi="仿宋_GB2312" w:cs="仿宋_GB2312"/>
                <w:color w:val="000000"/>
                <w:kern w:val="0"/>
                <w:sz w:val="24"/>
                <w:szCs w:val="24"/>
              </w:rPr>
              <w:t>万个</w:t>
            </w:r>
            <w:r>
              <w:rPr>
                <w:rFonts w:ascii="仿宋_GB2312" w:eastAsia="仿宋_GB2312" w:hAnsi="仿宋_GB2312" w:cs="仿宋_GB2312"/>
                <w:color w:val="000000"/>
                <w:kern w:val="0"/>
                <w:sz w:val="24"/>
                <w:szCs w:val="24"/>
              </w:rPr>
              <w:t>)</w:t>
            </w:r>
          </w:p>
        </w:tc>
        <w:tc>
          <w:tcPr>
            <w:tcW w:w="1594" w:type="dxa"/>
            <w:vAlign w:val="center"/>
          </w:tcPr>
          <w:p w:rsidR="00DA02B9" w:rsidRDefault="003229D3">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color w:val="000000"/>
                <w:kern w:val="0"/>
                <w:sz w:val="24"/>
                <w:szCs w:val="24"/>
              </w:rPr>
              <w:t>423</w:t>
            </w:r>
          </w:p>
        </w:tc>
        <w:tc>
          <w:tcPr>
            <w:tcW w:w="1593" w:type="dxa"/>
            <w:vAlign w:val="center"/>
          </w:tcPr>
          <w:p w:rsidR="00DA02B9" w:rsidRDefault="003229D3">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color w:val="000000"/>
                <w:kern w:val="0"/>
                <w:sz w:val="24"/>
                <w:szCs w:val="24"/>
              </w:rPr>
              <w:t>620</w:t>
            </w:r>
          </w:p>
        </w:tc>
        <w:tc>
          <w:tcPr>
            <w:tcW w:w="1425" w:type="dxa"/>
            <w:vAlign w:val="center"/>
          </w:tcPr>
          <w:p w:rsidR="00DA02B9" w:rsidRDefault="003229D3">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color w:val="000000"/>
                <w:kern w:val="0"/>
                <w:sz w:val="24"/>
                <w:szCs w:val="24"/>
              </w:rPr>
              <w:t>[197]</w:t>
            </w:r>
          </w:p>
        </w:tc>
      </w:tr>
      <w:tr w:rsidR="00DA02B9">
        <w:trPr>
          <w:trHeight w:val="300"/>
          <w:jc w:val="center"/>
        </w:trPr>
        <w:tc>
          <w:tcPr>
            <w:tcW w:w="4321" w:type="dxa"/>
            <w:gridSpan w:val="2"/>
            <w:vAlign w:val="center"/>
          </w:tcPr>
          <w:p w:rsidR="00DA02B9" w:rsidRDefault="003229D3">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w:t>
            </w:r>
            <w:r>
              <w:rPr>
                <w:rFonts w:ascii="仿宋_GB2312" w:eastAsia="仿宋_GB2312" w:hAnsi="仿宋_GB2312" w:cs="仿宋_GB2312"/>
                <w:color w:val="000000"/>
                <w:kern w:val="0"/>
                <w:sz w:val="24"/>
                <w:szCs w:val="24"/>
              </w:rPr>
              <w:t>10</w:t>
            </w:r>
            <w:r>
              <w:rPr>
                <w:rFonts w:ascii="仿宋_GB2312" w:eastAsia="仿宋_GB2312" w:hAnsi="仿宋_GB2312" w:cs="仿宋_GB2312"/>
                <w:color w:val="000000"/>
                <w:kern w:val="0"/>
                <w:sz w:val="24"/>
                <w:szCs w:val="24"/>
              </w:rPr>
              <w:t>）</w:t>
            </w:r>
            <w:r>
              <w:rPr>
                <w:rFonts w:ascii="仿宋_GB2312" w:eastAsia="仿宋_GB2312" w:hAnsi="仿宋_GB2312" w:cs="仿宋_GB2312" w:hint="eastAsia"/>
                <w:color w:val="000000"/>
                <w:kern w:val="0"/>
                <w:sz w:val="24"/>
                <w:szCs w:val="24"/>
              </w:rPr>
              <w:t>月户均移动互联网流量（兆</w:t>
            </w:r>
            <w:r>
              <w:rPr>
                <w:rFonts w:ascii="仿宋_GB2312" w:eastAsia="仿宋_GB2312" w:hAnsi="仿宋_GB2312" w:cs="仿宋_GB2312"/>
                <w:color w:val="000000"/>
                <w:kern w:val="0"/>
                <w:sz w:val="24"/>
                <w:szCs w:val="24"/>
              </w:rPr>
              <w:t>）</w:t>
            </w:r>
          </w:p>
        </w:tc>
        <w:tc>
          <w:tcPr>
            <w:tcW w:w="1594" w:type="dxa"/>
            <w:vAlign w:val="center"/>
          </w:tcPr>
          <w:p w:rsidR="00DA02B9" w:rsidRDefault="003229D3">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color w:val="000000"/>
                <w:kern w:val="0"/>
                <w:sz w:val="24"/>
                <w:szCs w:val="24"/>
              </w:rPr>
              <w:t>389</w:t>
            </w:r>
          </w:p>
        </w:tc>
        <w:tc>
          <w:tcPr>
            <w:tcW w:w="1593" w:type="dxa"/>
            <w:vAlign w:val="center"/>
          </w:tcPr>
          <w:p w:rsidR="00DA02B9" w:rsidRDefault="003229D3">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color w:val="000000"/>
                <w:kern w:val="0"/>
                <w:sz w:val="24"/>
                <w:szCs w:val="24"/>
              </w:rPr>
              <w:t>3100</w:t>
            </w:r>
          </w:p>
        </w:tc>
        <w:tc>
          <w:tcPr>
            <w:tcW w:w="1425" w:type="dxa"/>
            <w:vAlign w:val="center"/>
          </w:tcPr>
          <w:p w:rsidR="00DA02B9" w:rsidRDefault="003229D3">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color w:val="000000"/>
                <w:kern w:val="0"/>
                <w:sz w:val="24"/>
                <w:szCs w:val="24"/>
              </w:rPr>
              <w:t>5</w:t>
            </w:r>
            <w:r>
              <w:rPr>
                <w:rFonts w:ascii="仿宋_GB2312" w:eastAsia="仿宋_GB2312" w:hAnsi="仿宋_GB2312" w:cs="仿宋_GB2312" w:hint="eastAsia"/>
                <w:color w:val="000000"/>
                <w:kern w:val="0"/>
                <w:sz w:val="24"/>
                <w:szCs w:val="24"/>
              </w:rPr>
              <w:t>1.5</w:t>
            </w:r>
            <w:r>
              <w:rPr>
                <w:rFonts w:ascii="仿宋_GB2312" w:eastAsia="仿宋_GB2312" w:hAnsi="仿宋_GB2312" w:cs="仿宋_GB2312"/>
                <w:color w:val="000000"/>
                <w:kern w:val="0"/>
                <w:sz w:val="24"/>
                <w:szCs w:val="24"/>
              </w:rPr>
              <w:t>%</w:t>
            </w:r>
          </w:p>
        </w:tc>
      </w:tr>
      <w:tr w:rsidR="00DA02B9">
        <w:trPr>
          <w:trHeight w:val="300"/>
          <w:jc w:val="center"/>
        </w:trPr>
        <w:tc>
          <w:tcPr>
            <w:tcW w:w="4321" w:type="dxa"/>
            <w:gridSpan w:val="2"/>
            <w:vAlign w:val="center"/>
          </w:tcPr>
          <w:p w:rsidR="00DA02B9" w:rsidRDefault="003229D3">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w:t>
            </w:r>
            <w:r>
              <w:rPr>
                <w:rFonts w:ascii="仿宋_GB2312" w:eastAsia="仿宋_GB2312" w:hAnsi="仿宋_GB2312" w:cs="仿宋_GB2312"/>
                <w:color w:val="000000"/>
                <w:kern w:val="0"/>
                <w:sz w:val="24"/>
                <w:szCs w:val="24"/>
              </w:rPr>
              <w:t>11</w:t>
            </w:r>
            <w:r>
              <w:rPr>
                <w:rFonts w:ascii="仿宋_GB2312" w:eastAsia="仿宋_GB2312" w:hAnsi="仿宋_GB2312" w:cs="仿宋_GB2312" w:hint="eastAsia"/>
                <w:color w:val="000000"/>
                <w:kern w:val="0"/>
                <w:sz w:val="24"/>
                <w:szCs w:val="24"/>
              </w:rPr>
              <w:t>）</w:t>
            </w:r>
            <w:r>
              <w:rPr>
                <w:rFonts w:ascii="仿宋_GB2312" w:eastAsia="仿宋_GB2312" w:hAnsi="仿宋_GB2312" w:cs="仿宋_GB2312"/>
                <w:color w:val="000000"/>
                <w:kern w:val="0"/>
                <w:sz w:val="24"/>
                <w:szCs w:val="24"/>
              </w:rPr>
              <w:t>IPv6</w:t>
            </w:r>
            <w:r>
              <w:rPr>
                <w:rFonts w:ascii="仿宋_GB2312" w:eastAsia="仿宋_GB2312" w:hAnsi="仿宋_GB2312" w:cs="仿宋_GB2312"/>
                <w:color w:val="000000"/>
                <w:kern w:val="0"/>
                <w:sz w:val="24"/>
                <w:szCs w:val="24"/>
              </w:rPr>
              <w:t>流量占比（</w:t>
            </w:r>
            <w:r>
              <w:rPr>
                <w:rFonts w:ascii="仿宋_GB2312" w:eastAsia="仿宋_GB2312" w:hAnsi="仿宋_GB2312" w:cs="仿宋_GB2312"/>
                <w:color w:val="000000"/>
                <w:kern w:val="0"/>
                <w:sz w:val="24"/>
                <w:szCs w:val="24"/>
              </w:rPr>
              <w:t>%</w:t>
            </w:r>
            <w:r>
              <w:rPr>
                <w:rFonts w:ascii="仿宋_GB2312" w:eastAsia="仿宋_GB2312" w:hAnsi="仿宋_GB2312" w:cs="仿宋_GB2312"/>
                <w:color w:val="000000"/>
                <w:kern w:val="0"/>
                <w:sz w:val="24"/>
                <w:szCs w:val="24"/>
              </w:rPr>
              <w:t>）</w:t>
            </w:r>
          </w:p>
        </w:tc>
        <w:tc>
          <w:tcPr>
            <w:tcW w:w="1594" w:type="dxa"/>
            <w:vAlign w:val="center"/>
          </w:tcPr>
          <w:p w:rsidR="00DA02B9" w:rsidRDefault="003229D3">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color w:val="000000"/>
                <w:kern w:val="0"/>
                <w:sz w:val="24"/>
                <w:szCs w:val="24"/>
              </w:rPr>
              <w:t>&lt;1</w:t>
            </w:r>
          </w:p>
        </w:tc>
        <w:tc>
          <w:tcPr>
            <w:tcW w:w="1593" w:type="dxa"/>
            <w:vAlign w:val="center"/>
          </w:tcPr>
          <w:p w:rsidR="00DA02B9" w:rsidRDefault="003229D3">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color w:val="000000"/>
                <w:kern w:val="0"/>
                <w:sz w:val="24"/>
                <w:szCs w:val="24"/>
              </w:rPr>
              <w:t>5</w:t>
            </w:r>
          </w:p>
        </w:tc>
        <w:tc>
          <w:tcPr>
            <w:tcW w:w="1425" w:type="dxa"/>
            <w:vAlign w:val="center"/>
          </w:tcPr>
          <w:p w:rsidR="00DA02B9" w:rsidRDefault="003229D3">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color w:val="000000"/>
                <w:kern w:val="0"/>
                <w:sz w:val="24"/>
                <w:szCs w:val="24"/>
              </w:rPr>
              <w:t>[&gt;4]</w:t>
            </w:r>
          </w:p>
        </w:tc>
      </w:tr>
      <w:tr w:rsidR="00DA02B9">
        <w:trPr>
          <w:trHeight w:val="300"/>
          <w:jc w:val="center"/>
        </w:trPr>
        <w:tc>
          <w:tcPr>
            <w:tcW w:w="4321" w:type="dxa"/>
            <w:gridSpan w:val="2"/>
            <w:vAlign w:val="center"/>
          </w:tcPr>
          <w:p w:rsidR="00DA02B9" w:rsidRDefault="003229D3">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w:t>
            </w:r>
            <w:r>
              <w:rPr>
                <w:rFonts w:ascii="仿宋_GB2312" w:eastAsia="仿宋_GB2312" w:hAnsi="仿宋_GB2312" w:cs="仿宋_GB2312"/>
                <w:color w:val="000000"/>
                <w:kern w:val="0"/>
                <w:sz w:val="24"/>
                <w:szCs w:val="24"/>
              </w:rPr>
              <w:t>12</w:t>
            </w:r>
            <w:r>
              <w:rPr>
                <w:rFonts w:ascii="仿宋_GB2312" w:eastAsia="仿宋_GB2312" w:hAnsi="仿宋_GB2312" w:cs="仿宋_GB2312" w:hint="eastAsia"/>
                <w:color w:val="000000"/>
                <w:kern w:val="0"/>
                <w:sz w:val="24"/>
                <w:szCs w:val="24"/>
              </w:rPr>
              <w:t>）</w:t>
            </w:r>
            <w:r>
              <w:rPr>
                <w:rFonts w:ascii="仿宋_GB2312" w:eastAsia="仿宋_GB2312" w:hAnsi="仿宋_GB2312" w:cs="仿宋_GB2312"/>
                <w:color w:val="000000"/>
                <w:kern w:val="0"/>
                <w:sz w:val="24"/>
                <w:szCs w:val="24"/>
              </w:rPr>
              <w:t>M2M</w:t>
            </w:r>
            <w:r>
              <w:rPr>
                <w:rFonts w:ascii="仿宋_GB2312" w:eastAsia="仿宋_GB2312" w:hAnsi="仿宋_GB2312" w:cs="仿宋_GB2312"/>
                <w:color w:val="000000"/>
                <w:kern w:val="0"/>
                <w:sz w:val="24"/>
                <w:szCs w:val="24"/>
              </w:rPr>
              <w:t>连接数（亿）</w:t>
            </w:r>
          </w:p>
        </w:tc>
        <w:tc>
          <w:tcPr>
            <w:tcW w:w="1594" w:type="dxa"/>
            <w:vAlign w:val="center"/>
          </w:tcPr>
          <w:p w:rsidR="00DA02B9" w:rsidRDefault="003229D3">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color w:val="000000"/>
                <w:kern w:val="0"/>
                <w:sz w:val="24"/>
                <w:szCs w:val="24"/>
              </w:rPr>
              <w:t>1</w:t>
            </w:r>
          </w:p>
        </w:tc>
        <w:tc>
          <w:tcPr>
            <w:tcW w:w="1593" w:type="dxa"/>
            <w:vAlign w:val="center"/>
          </w:tcPr>
          <w:p w:rsidR="00DA02B9" w:rsidRDefault="003229D3">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color w:val="000000"/>
                <w:kern w:val="0"/>
                <w:sz w:val="24"/>
                <w:szCs w:val="24"/>
              </w:rPr>
              <w:t>1</w:t>
            </w:r>
            <w:r>
              <w:rPr>
                <w:rFonts w:ascii="仿宋_GB2312" w:eastAsia="仿宋_GB2312" w:hAnsi="仿宋_GB2312" w:cs="仿宋_GB2312" w:hint="eastAsia"/>
                <w:color w:val="000000"/>
                <w:kern w:val="0"/>
                <w:sz w:val="24"/>
                <w:szCs w:val="24"/>
              </w:rPr>
              <w:t>7</w:t>
            </w:r>
          </w:p>
        </w:tc>
        <w:tc>
          <w:tcPr>
            <w:tcW w:w="1425" w:type="dxa"/>
            <w:vAlign w:val="center"/>
          </w:tcPr>
          <w:p w:rsidR="00DA02B9" w:rsidRDefault="003229D3">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75.9</w:t>
            </w:r>
            <w:r>
              <w:rPr>
                <w:rFonts w:ascii="仿宋_GB2312" w:eastAsia="仿宋_GB2312" w:hAnsi="仿宋_GB2312" w:cs="仿宋_GB2312"/>
                <w:color w:val="000000"/>
                <w:kern w:val="0"/>
                <w:sz w:val="24"/>
                <w:szCs w:val="24"/>
              </w:rPr>
              <w:t>%</w:t>
            </w:r>
          </w:p>
        </w:tc>
      </w:tr>
      <w:tr w:rsidR="00DA02B9">
        <w:trPr>
          <w:trHeight w:val="300"/>
          <w:jc w:val="center"/>
        </w:trPr>
        <w:tc>
          <w:tcPr>
            <w:tcW w:w="4321" w:type="dxa"/>
            <w:gridSpan w:val="2"/>
            <w:vAlign w:val="center"/>
          </w:tcPr>
          <w:p w:rsidR="00DA02B9" w:rsidRDefault="003229D3">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w:t>
            </w:r>
            <w:r>
              <w:rPr>
                <w:rFonts w:ascii="仿宋_GB2312" w:eastAsia="仿宋_GB2312" w:hAnsi="仿宋_GB2312" w:cs="仿宋_GB2312"/>
                <w:color w:val="000000"/>
                <w:kern w:val="0"/>
                <w:sz w:val="24"/>
                <w:szCs w:val="24"/>
              </w:rPr>
              <w:t>13</w:t>
            </w:r>
            <w:r>
              <w:rPr>
                <w:rFonts w:ascii="仿宋_GB2312" w:eastAsia="仿宋_GB2312" w:hAnsi="仿宋_GB2312" w:cs="仿宋_GB2312" w:hint="eastAsia"/>
                <w:color w:val="000000"/>
                <w:kern w:val="0"/>
                <w:sz w:val="24"/>
                <w:szCs w:val="24"/>
              </w:rPr>
              <w:t>）互联网行业发展景气指数</w:t>
            </w:r>
          </w:p>
        </w:tc>
        <w:tc>
          <w:tcPr>
            <w:tcW w:w="1594" w:type="dxa"/>
            <w:vAlign w:val="center"/>
          </w:tcPr>
          <w:p w:rsidR="00DA02B9" w:rsidRDefault="003229D3">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color w:val="000000"/>
                <w:kern w:val="0"/>
                <w:sz w:val="24"/>
                <w:szCs w:val="24"/>
              </w:rPr>
              <w:t>104.8</w:t>
            </w:r>
          </w:p>
        </w:tc>
        <w:tc>
          <w:tcPr>
            <w:tcW w:w="1593" w:type="dxa"/>
            <w:vAlign w:val="center"/>
          </w:tcPr>
          <w:p w:rsidR="00DA02B9" w:rsidRDefault="003229D3">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color w:val="000000"/>
                <w:kern w:val="0"/>
                <w:sz w:val="24"/>
                <w:szCs w:val="24"/>
              </w:rPr>
              <w:t>&gt;115</w:t>
            </w:r>
          </w:p>
        </w:tc>
        <w:tc>
          <w:tcPr>
            <w:tcW w:w="1425" w:type="dxa"/>
            <w:vAlign w:val="center"/>
          </w:tcPr>
          <w:p w:rsidR="00DA02B9" w:rsidRDefault="003229D3">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color w:val="000000"/>
                <w:kern w:val="0"/>
                <w:sz w:val="24"/>
                <w:szCs w:val="24"/>
              </w:rPr>
              <w:t>[</w:t>
            </w:r>
            <w:r>
              <w:rPr>
                <w:rFonts w:ascii="仿宋_GB2312" w:eastAsia="仿宋_GB2312" w:hAnsi="仿宋_GB2312" w:cs="仿宋_GB2312" w:hint="eastAsia"/>
                <w:color w:val="000000"/>
                <w:kern w:val="0"/>
                <w:sz w:val="24"/>
                <w:szCs w:val="24"/>
              </w:rPr>
              <w:t>&gt;</w:t>
            </w:r>
            <w:r>
              <w:rPr>
                <w:rFonts w:ascii="仿宋_GB2312" w:eastAsia="仿宋_GB2312" w:hAnsi="仿宋_GB2312" w:cs="仿宋_GB2312"/>
                <w:color w:val="000000"/>
                <w:kern w:val="0"/>
                <w:sz w:val="24"/>
                <w:szCs w:val="24"/>
              </w:rPr>
              <w:t>10.2]</w:t>
            </w:r>
          </w:p>
        </w:tc>
      </w:tr>
      <w:tr w:rsidR="00DA02B9">
        <w:trPr>
          <w:trHeight w:val="117"/>
          <w:jc w:val="center"/>
        </w:trPr>
        <w:tc>
          <w:tcPr>
            <w:tcW w:w="8933" w:type="dxa"/>
            <w:gridSpan w:val="5"/>
            <w:tcBorders>
              <w:bottom w:val="single" w:sz="4" w:space="0" w:color="auto"/>
            </w:tcBorders>
            <w:vAlign w:val="center"/>
          </w:tcPr>
          <w:p w:rsidR="00DA02B9" w:rsidRDefault="003229D3">
            <w:pPr>
              <w:pStyle w:val="310"/>
              <w:widowControl/>
              <w:numPr>
                <w:ilvl w:val="0"/>
                <w:numId w:val="1"/>
              </w:numPr>
              <w:ind w:firstLineChars="0"/>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b/>
                <w:color w:val="000000"/>
                <w:kern w:val="0"/>
                <w:sz w:val="24"/>
                <w:szCs w:val="24"/>
              </w:rPr>
              <w:t>服务能力</w:t>
            </w:r>
          </w:p>
        </w:tc>
      </w:tr>
      <w:tr w:rsidR="00DA02B9">
        <w:trPr>
          <w:trHeight w:val="201"/>
          <w:jc w:val="center"/>
        </w:trPr>
        <w:tc>
          <w:tcPr>
            <w:tcW w:w="4321" w:type="dxa"/>
            <w:gridSpan w:val="2"/>
            <w:tcBorders>
              <w:top w:val="single" w:sz="4" w:space="0" w:color="auto"/>
            </w:tcBorders>
            <w:vAlign w:val="center"/>
          </w:tcPr>
          <w:p w:rsidR="00DA02B9" w:rsidRDefault="003229D3">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w:t>
            </w:r>
            <w:r>
              <w:rPr>
                <w:rFonts w:ascii="仿宋_GB2312" w:eastAsia="仿宋_GB2312" w:hAnsi="仿宋_GB2312" w:cs="仿宋_GB2312"/>
                <w:color w:val="000000"/>
                <w:kern w:val="0"/>
                <w:sz w:val="24"/>
                <w:szCs w:val="24"/>
              </w:rPr>
              <w:t>14</w:t>
            </w:r>
            <w:r>
              <w:rPr>
                <w:rFonts w:ascii="仿宋_GB2312" w:eastAsia="仿宋_GB2312" w:hAnsi="仿宋_GB2312" w:cs="仿宋_GB2312" w:hint="eastAsia"/>
                <w:color w:val="000000"/>
                <w:kern w:val="0"/>
                <w:sz w:val="24"/>
                <w:szCs w:val="24"/>
              </w:rPr>
              <w:t>）大中城市家庭宽带接入服务能力（兆比特每秒）</w:t>
            </w:r>
          </w:p>
        </w:tc>
        <w:tc>
          <w:tcPr>
            <w:tcW w:w="1594" w:type="dxa"/>
            <w:tcBorders>
              <w:top w:val="single" w:sz="4" w:space="0" w:color="auto"/>
            </w:tcBorders>
            <w:vAlign w:val="center"/>
          </w:tcPr>
          <w:p w:rsidR="00DA02B9" w:rsidRDefault="003229D3">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color w:val="000000"/>
                <w:kern w:val="0"/>
                <w:sz w:val="24"/>
                <w:szCs w:val="24"/>
              </w:rPr>
              <w:t>20</w:t>
            </w:r>
          </w:p>
        </w:tc>
        <w:tc>
          <w:tcPr>
            <w:tcW w:w="1593" w:type="dxa"/>
            <w:tcBorders>
              <w:top w:val="single" w:sz="4" w:space="0" w:color="auto"/>
            </w:tcBorders>
            <w:vAlign w:val="center"/>
          </w:tcPr>
          <w:p w:rsidR="00DA02B9" w:rsidRDefault="003229D3">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color w:val="000000"/>
                <w:kern w:val="0"/>
                <w:sz w:val="24"/>
                <w:szCs w:val="24"/>
              </w:rPr>
              <w:t>&gt;100</w:t>
            </w:r>
          </w:p>
        </w:tc>
        <w:tc>
          <w:tcPr>
            <w:tcW w:w="1425" w:type="dxa"/>
            <w:tcBorders>
              <w:top w:val="single" w:sz="4" w:space="0" w:color="auto"/>
            </w:tcBorders>
            <w:vAlign w:val="center"/>
          </w:tcPr>
          <w:p w:rsidR="00DA02B9" w:rsidRDefault="003229D3">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color w:val="000000"/>
                <w:kern w:val="0"/>
                <w:sz w:val="24"/>
                <w:szCs w:val="24"/>
              </w:rPr>
              <w:t>[</w:t>
            </w:r>
            <w:r>
              <w:rPr>
                <w:rFonts w:ascii="仿宋_GB2312" w:eastAsia="仿宋_GB2312" w:hAnsi="仿宋_GB2312" w:cs="仿宋_GB2312" w:hint="eastAsia"/>
                <w:color w:val="000000"/>
                <w:kern w:val="0"/>
                <w:sz w:val="24"/>
                <w:szCs w:val="24"/>
              </w:rPr>
              <w:t>&gt;</w:t>
            </w:r>
            <w:r>
              <w:rPr>
                <w:rFonts w:ascii="仿宋_GB2312" w:eastAsia="仿宋_GB2312" w:hAnsi="仿宋_GB2312" w:cs="仿宋_GB2312"/>
                <w:color w:val="000000"/>
                <w:kern w:val="0"/>
                <w:sz w:val="24"/>
                <w:szCs w:val="24"/>
              </w:rPr>
              <w:t>80]</w:t>
            </w:r>
          </w:p>
        </w:tc>
      </w:tr>
      <w:tr w:rsidR="00DA02B9">
        <w:trPr>
          <w:trHeight w:val="330"/>
          <w:jc w:val="center"/>
        </w:trPr>
        <w:tc>
          <w:tcPr>
            <w:tcW w:w="4321" w:type="dxa"/>
            <w:gridSpan w:val="2"/>
            <w:vAlign w:val="center"/>
          </w:tcPr>
          <w:p w:rsidR="00DA02B9" w:rsidRDefault="003229D3">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w:t>
            </w:r>
            <w:r>
              <w:rPr>
                <w:rFonts w:ascii="仿宋_GB2312" w:eastAsia="仿宋_GB2312" w:hAnsi="仿宋_GB2312" w:cs="仿宋_GB2312"/>
                <w:color w:val="000000"/>
                <w:kern w:val="0"/>
                <w:sz w:val="24"/>
                <w:szCs w:val="24"/>
              </w:rPr>
              <w:t>15</w:t>
            </w:r>
            <w:r>
              <w:rPr>
                <w:rFonts w:ascii="仿宋_GB2312" w:eastAsia="仿宋_GB2312" w:hAnsi="仿宋_GB2312" w:cs="仿宋_GB2312" w:hint="eastAsia"/>
                <w:color w:val="000000"/>
                <w:kern w:val="0"/>
                <w:sz w:val="24"/>
                <w:szCs w:val="24"/>
              </w:rPr>
              <w:t>）半数以上农村家庭宽带接入服务能力（兆比特每秒）</w:t>
            </w:r>
          </w:p>
        </w:tc>
        <w:tc>
          <w:tcPr>
            <w:tcW w:w="1594" w:type="dxa"/>
            <w:vAlign w:val="center"/>
          </w:tcPr>
          <w:p w:rsidR="00DA02B9" w:rsidRDefault="003229D3">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color w:val="000000"/>
                <w:kern w:val="0"/>
                <w:sz w:val="24"/>
                <w:szCs w:val="24"/>
              </w:rPr>
              <w:t>4</w:t>
            </w:r>
          </w:p>
        </w:tc>
        <w:tc>
          <w:tcPr>
            <w:tcW w:w="1593" w:type="dxa"/>
            <w:vAlign w:val="center"/>
          </w:tcPr>
          <w:p w:rsidR="00DA02B9" w:rsidRDefault="003229D3">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color w:val="000000"/>
                <w:kern w:val="0"/>
                <w:sz w:val="24"/>
                <w:szCs w:val="24"/>
              </w:rPr>
              <w:t>&gt;50</w:t>
            </w:r>
          </w:p>
        </w:tc>
        <w:tc>
          <w:tcPr>
            <w:tcW w:w="1425" w:type="dxa"/>
            <w:vAlign w:val="center"/>
          </w:tcPr>
          <w:p w:rsidR="00DA02B9" w:rsidRDefault="003229D3">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color w:val="000000"/>
                <w:kern w:val="0"/>
                <w:sz w:val="24"/>
                <w:szCs w:val="24"/>
              </w:rPr>
              <w:t>[</w:t>
            </w:r>
            <w:r>
              <w:rPr>
                <w:rFonts w:ascii="仿宋_GB2312" w:eastAsia="仿宋_GB2312" w:hAnsi="仿宋_GB2312" w:cs="仿宋_GB2312" w:hint="eastAsia"/>
                <w:color w:val="000000"/>
                <w:kern w:val="0"/>
                <w:sz w:val="24"/>
                <w:szCs w:val="24"/>
              </w:rPr>
              <w:t>&gt;</w:t>
            </w:r>
            <w:r>
              <w:rPr>
                <w:rFonts w:ascii="仿宋_GB2312" w:eastAsia="仿宋_GB2312" w:hAnsi="仿宋_GB2312" w:cs="仿宋_GB2312"/>
                <w:color w:val="000000"/>
                <w:kern w:val="0"/>
                <w:sz w:val="24"/>
                <w:szCs w:val="24"/>
              </w:rPr>
              <w:t>46]</w:t>
            </w:r>
          </w:p>
        </w:tc>
      </w:tr>
      <w:tr w:rsidR="00DA02B9">
        <w:trPr>
          <w:trHeight w:val="300"/>
          <w:jc w:val="center"/>
        </w:trPr>
        <w:tc>
          <w:tcPr>
            <w:tcW w:w="4321" w:type="dxa"/>
            <w:gridSpan w:val="2"/>
            <w:vAlign w:val="center"/>
          </w:tcPr>
          <w:p w:rsidR="00DA02B9" w:rsidRDefault="003229D3">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w:t>
            </w:r>
            <w:r>
              <w:rPr>
                <w:rFonts w:ascii="仿宋_GB2312" w:eastAsia="仿宋_GB2312" w:hAnsi="仿宋_GB2312" w:cs="仿宋_GB2312"/>
                <w:color w:val="000000"/>
                <w:kern w:val="0"/>
                <w:sz w:val="24"/>
                <w:szCs w:val="24"/>
              </w:rPr>
              <w:t>16</w:t>
            </w:r>
            <w:r>
              <w:rPr>
                <w:rFonts w:ascii="仿宋_GB2312" w:eastAsia="仿宋_GB2312" w:hAnsi="仿宋_GB2312" w:cs="仿宋_GB2312" w:hint="eastAsia"/>
                <w:color w:val="000000"/>
                <w:kern w:val="0"/>
                <w:sz w:val="24"/>
                <w:szCs w:val="24"/>
              </w:rPr>
              <w:t>）行政村光纤通达率（</w:t>
            </w:r>
            <w:r>
              <w:rPr>
                <w:rFonts w:ascii="仿宋_GB2312" w:eastAsia="仿宋_GB2312" w:hAnsi="仿宋_GB2312" w:cs="仿宋_GB2312"/>
                <w:color w:val="000000"/>
                <w:kern w:val="0"/>
                <w:sz w:val="24"/>
                <w:szCs w:val="24"/>
              </w:rPr>
              <w:t>%</w:t>
            </w:r>
            <w:r>
              <w:rPr>
                <w:rFonts w:ascii="仿宋_GB2312" w:eastAsia="仿宋_GB2312" w:hAnsi="仿宋_GB2312" w:cs="仿宋_GB2312"/>
                <w:color w:val="000000"/>
                <w:kern w:val="0"/>
                <w:sz w:val="24"/>
                <w:szCs w:val="24"/>
              </w:rPr>
              <w:t>）</w:t>
            </w:r>
          </w:p>
        </w:tc>
        <w:tc>
          <w:tcPr>
            <w:tcW w:w="1594" w:type="dxa"/>
            <w:vAlign w:val="center"/>
          </w:tcPr>
          <w:p w:rsidR="00DA02B9" w:rsidRDefault="003229D3">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color w:val="000000"/>
                <w:kern w:val="0"/>
                <w:sz w:val="24"/>
                <w:szCs w:val="24"/>
              </w:rPr>
              <w:t>75</w:t>
            </w:r>
          </w:p>
        </w:tc>
        <w:tc>
          <w:tcPr>
            <w:tcW w:w="1593" w:type="dxa"/>
            <w:vAlign w:val="center"/>
          </w:tcPr>
          <w:p w:rsidR="00DA02B9" w:rsidRDefault="003229D3">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color w:val="000000"/>
                <w:kern w:val="0"/>
                <w:sz w:val="24"/>
                <w:szCs w:val="24"/>
              </w:rPr>
              <w:t>98</w:t>
            </w:r>
          </w:p>
        </w:tc>
        <w:tc>
          <w:tcPr>
            <w:tcW w:w="1425" w:type="dxa"/>
            <w:vAlign w:val="center"/>
          </w:tcPr>
          <w:p w:rsidR="00DA02B9" w:rsidRDefault="003229D3">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color w:val="000000"/>
                <w:kern w:val="0"/>
                <w:sz w:val="24"/>
                <w:szCs w:val="24"/>
              </w:rPr>
              <w:t>[23]</w:t>
            </w:r>
          </w:p>
        </w:tc>
      </w:tr>
      <w:tr w:rsidR="00DA02B9">
        <w:trPr>
          <w:trHeight w:val="83"/>
          <w:jc w:val="center"/>
        </w:trPr>
        <w:tc>
          <w:tcPr>
            <w:tcW w:w="8933" w:type="dxa"/>
            <w:gridSpan w:val="5"/>
            <w:tcBorders>
              <w:bottom w:val="single" w:sz="4" w:space="0" w:color="auto"/>
            </w:tcBorders>
            <w:vAlign w:val="center"/>
          </w:tcPr>
          <w:p w:rsidR="00DA02B9" w:rsidRDefault="003229D3">
            <w:pPr>
              <w:pStyle w:val="310"/>
              <w:widowControl/>
              <w:numPr>
                <w:ilvl w:val="0"/>
                <w:numId w:val="1"/>
              </w:numPr>
              <w:ind w:firstLineChars="0"/>
              <w:jc w:val="left"/>
              <w:rPr>
                <w:rFonts w:ascii="仿宋_GB2312" w:eastAsia="仿宋_GB2312" w:hAnsi="仿宋_GB2312" w:cs="仿宋_GB2312"/>
                <w:b/>
                <w:color w:val="000000"/>
                <w:kern w:val="0"/>
                <w:sz w:val="24"/>
                <w:szCs w:val="24"/>
              </w:rPr>
            </w:pPr>
            <w:r>
              <w:rPr>
                <w:rFonts w:ascii="仿宋_GB2312" w:eastAsia="仿宋_GB2312" w:hAnsi="仿宋_GB2312" w:cs="仿宋_GB2312" w:hint="eastAsia"/>
                <w:b/>
                <w:color w:val="000000"/>
                <w:kern w:val="0"/>
                <w:sz w:val="24"/>
                <w:szCs w:val="24"/>
              </w:rPr>
              <w:t>绿色发展</w:t>
            </w:r>
          </w:p>
        </w:tc>
      </w:tr>
      <w:tr w:rsidR="00DA02B9">
        <w:trPr>
          <w:trHeight w:val="218"/>
          <w:jc w:val="center"/>
        </w:trPr>
        <w:tc>
          <w:tcPr>
            <w:tcW w:w="4321" w:type="dxa"/>
            <w:gridSpan w:val="2"/>
            <w:tcBorders>
              <w:top w:val="single" w:sz="4" w:space="0" w:color="auto"/>
            </w:tcBorders>
            <w:vAlign w:val="center"/>
          </w:tcPr>
          <w:p w:rsidR="00DA02B9" w:rsidRDefault="003229D3">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w:t>
            </w:r>
            <w:r>
              <w:rPr>
                <w:rFonts w:ascii="仿宋_GB2312" w:eastAsia="仿宋_GB2312" w:hAnsi="仿宋_GB2312" w:cs="仿宋_GB2312"/>
                <w:color w:val="000000"/>
                <w:kern w:val="0"/>
                <w:sz w:val="24"/>
                <w:szCs w:val="24"/>
              </w:rPr>
              <w:t>17</w:t>
            </w:r>
            <w:r>
              <w:rPr>
                <w:rFonts w:ascii="仿宋_GB2312" w:eastAsia="仿宋_GB2312" w:hAnsi="仿宋_GB2312" w:cs="仿宋_GB2312" w:hint="eastAsia"/>
                <w:color w:val="000000"/>
                <w:kern w:val="0"/>
                <w:sz w:val="24"/>
                <w:szCs w:val="24"/>
              </w:rPr>
              <w:t>）单位电信业务总量综合能耗下降幅度（</w:t>
            </w:r>
            <w:r>
              <w:rPr>
                <w:rFonts w:ascii="仿宋_GB2312" w:eastAsia="仿宋_GB2312" w:hAnsi="仿宋_GB2312" w:cs="仿宋_GB2312"/>
                <w:color w:val="000000"/>
                <w:kern w:val="0"/>
                <w:sz w:val="24"/>
                <w:szCs w:val="24"/>
              </w:rPr>
              <w:t>%</w:t>
            </w:r>
            <w:r>
              <w:rPr>
                <w:rFonts w:ascii="仿宋_GB2312" w:eastAsia="仿宋_GB2312" w:hAnsi="仿宋_GB2312" w:cs="仿宋_GB2312"/>
                <w:color w:val="000000"/>
                <w:kern w:val="0"/>
                <w:sz w:val="24"/>
                <w:szCs w:val="24"/>
              </w:rPr>
              <w:t>）</w:t>
            </w:r>
          </w:p>
        </w:tc>
        <w:tc>
          <w:tcPr>
            <w:tcW w:w="1594" w:type="dxa"/>
            <w:tcBorders>
              <w:top w:val="single" w:sz="4" w:space="0" w:color="auto"/>
            </w:tcBorders>
            <w:vAlign w:val="center"/>
          </w:tcPr>
          <w:p w:rsidR="00DA02B9" w:rsidRDefault="003229D3">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color w:val="000000"/>
                <w:kern w:val="0"/>
                <w:sz w:val="24"/>
                <w:szCs w:val="24"/>
              </w:rPr>
              <w:t>39.7</w:t>
            </w:r>
            <w:r>
              <w:rPr>
                <w:rFonts w:ascii="仿宋_GB2312" w:eastAsia="仿宋_GB2312" w:hAnsi="仿宋_GB2312" w:cs="仿宋_GB2312"/>
                <w:color w:val="000000"/>
                <w:kern w:val="0"/>
                <w:sz w:val="24"/>
                <w:szCs w:val="24"/>
              </w:rPr>
              <w:t>（十二五）</w:t>
            </w:r>
          </w:p>
        </w:tc>
        <w:tc>
          <w:tcPr>
            <w:tcW w:w="1593" w:type="dxa"/>
            <w:tcBorders>
              <w:top w:val="single" w:sz="4" w:space="0" w:color="auto"/>
            </w:tcBorders>
            <w:vAlign w:val="center"/>
          </w:tcPr>
          <w:p w:rsidR="00DA02B9" w:rsidRDefault="003229D3">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color w:val="000000"/>
                <w:kern w:val="0"/>
                <w:sz w:val="24"/>
                <w:szCs w:val="24"/>
              </w:rPr>
              <w:t>10(</w:t>
            </w:r>
            <w:r>
              <w:rPr>
                <w:rFonts w:ascii="仿宋_GB2312" w:eastAsia="仿宋_GB2312" w:hAnsi="仿宋_GB2312" w:cs="仿宋_GB2312"/>
                <w:color w:val="000000"/>
                <w:kern w:val="0"/>
                <w:sz w:val="24"/>
                <w:szCs w:val="24"/>
              </w:rPr>
              <w:t>十三五</w:t>
            </w:r>
            <w:r>
              <w:rPr>
                <w:rFonts w:ascii="仿宋_GB2312" w:eastAsia="仿宋_GB2312" w:hAnsi="仿宋_GB2312" w:cs="仿宋_GB2312"/>
                <w:color w:val="000000"/>
                <w:kern w:val="0"/>
                <w:sz w:val="24"/>
                <w:szCs w:val="24"/>
              </w:rPr>
              <w:t>)</w:t>
            </w:r>
          </w:p>
        </w:tc>
        <w:tc>
          <w:tcPr>
            <w:tcW w:w="1425" w:type="dxa"/>
            <w:tcBorders>
              <w:top w:val="single" w:sz="4" w:space="0" w:color="auto"/>
            </w:tcBorders>
            <w:vAlign w:val="center"/>
          </w:tcPr>
          <w:p w:rsidR="00DA02B9" w:rsidRDefault="003229D3">
            <w:pPr>
              <w:widowControl/>
              <w:jc w:val="center"/>
              <w:rPr>
                <w:rFonts w:ascii="仿宋_GB2312" w:eastAsia="仿宋_GB2312" w:hAnsi="仿宋_GB2312" w:cs="仿宋_GB2312"/>
                <w:color w:val="000000"/>
                <w:kern w:val="0"/>
                <w:sz w:val="24"/>
                <w:szCs w:val="24"/>
              </w:rPr>
            </w:pPr>
            <w:r>
              <w:t xml:space="preserve"> </w:t>
            </w:r>
            <w:r>
              <w:rPr>
                <w:rFonts w:ascii="仿宋_GB2312" w:eastAsia="仿宋_GB2312" w:hAnsi="仿宋_GB2312" w:cs="仿宋_GB2312"/>
                <w:kern w:val="0"/>
                <w:sz w:val="24"/>
                <w:szCs w:val="24"/>
              </w:rPr>
              <w:t>-</w:t>
            </w:r>
          </w:p>
        </w:tc>
      </w:tr>
      <w:tr w:rsidR="00DA02B9">
        <w:trPr>
          <w:trHeight w:val="300"/>
          <w:jc w:val="center"/>
        </w:trPr>
        <w:tc>
          <w:tcPr>
            <w:tcW w:w="4321" w:type="dxa"/>
            <w:gridSpan w:val="2"/>
            <w:vAlign w:val="center"/>
          </w:tcPr>
          <w:p w:rsidR="00DA02B9" w:rsidRDefault="003229D3">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w:t>
            </w:r>
            <w:r>
              <w:rPr>
                <w:rFonts w:ascii="仿宋_GB2312" w:eastAsia="仿宋_GB2312" w:hAnsi="仿宋_GB2312" w:cs="仿宋_GB2312"/>
                <w:color w:val="000000"/>
                <w:kern w:val="0"/>
                <w:sz w:val="24"/>
                <w:szCs w:val="24"/>
              </w:rPr>
              <w:t>18</w:t>
            </w:r>
            <w:r>
              <w:rPr>
                <w:rFonts w:ascii="仿宋_GB2312" w:eastAsia="仿宋_GB2312" w:hAnsi="仿宋_GB2312" w:cs="仿宋_GB2312" w:hint="eastAsia"/>
                <w:color w:val="000000"/>
                <w:kern w:val="0"/>
                <w:sz w:val="24"/>
                <w:szCs w:val="24"/>
              </w:rPr>
              <w:t>）新建大型云计算数据中心的</w:t>
            </w:r>
            <w:r>
              <w:rPr>
                <w:rFonts w:ascii="仿宋_GB2312" w:eastAsia="仿宋_GB2312" w:hAnsi="仿宋_GB2312" w:cs="仿宋_GB2312"/>
                <w:color w:val="000000"/>
                <w:kern w:val="0"/>
                <w:sz w:val="24"/>
                <w:szCs w:val="24"/>
              </w:rPr>
              <w:t>PUE</w:t>
            </w:r>
            <w:r>
              <w:rPr>
                <w:rFonts w:ascii="仿宋_GB2312" w:eastAsia="仿宋_GB2312" w:hAnsi="仿宋_GB2312" w:cs="仿宋_GB2312"/>
                <w:color w:val="000000"/>
                <w:kern w:val="0"/>
                <w:sz w:val="24"/>
                <w:szCs w:val="24"/>
              </w:rPr>
              <w:t>值</w:t>
            </w:r>
          </w:p>
        </w:tc>
        <w:tc>
          <w:tcPr>
            <w:tcW w:w="1594" w:type="dxa"/>
            <w:vAlign w:val="center"/>
          </w:tcPr>
          <w:p w:rsidR="00DA02B9" w:rsidRDefault="003229D3">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color w:val="000000"/>
                <w:kern w:val="0"/>
                <w:sz w:val="24"/>
                <w:szCs w:val="24"/>
              </w:rPr>
              <w:t>1.5</w:t>
            </w:r>
          </w:p>
        </w:tc>
        <w:tc>
          <w:tcPr>
            <w:tcW w:w="1593" w:type="dxa"/>
            <w:vAlign w:val="center"/>
          </w:tcPr>
          <w:p w:rsidR="00DA02B9" w:rsidRDefault="003229D3">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color w:val="000000"/>
                <w:kern w:val="0"/>
                <w:sz w:val="24"/>
                <w:szCs w:val="24"/>
              </w:rPr>
              <w:t>&lt;1.4</w:t>
            </w:r>
          </w:p>
        </w:tc>
        <w:tc>
          <w:tcPr>
            <w:tcW w:w="1425" w:type="dxa"/>
            <w:vAlign w:val="center"/>
          </w:tcPr>
          <w:p w:rsidR="00DA02B9" w:rsidRDefault="003229D3">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color w:val="000000"/>
                <w:kern w:val="0"/>
                <w:sz w:val="24"/>
                <w:szCs w:val="24"/>
              </w:rPr>
              <w:t>[&gt;0.1]</w:t>
            </w:r>
          </w:p>
        </w:tc>
      </w:tr>
      <w:tr w:rsidR="00DA02B9">
        <w:trPr>
          <w:trHeight w:val="134"/>
          <w:jc w:val="center"/>
        </w:trPr>
        <w:tc>
          <w:tcPr>
            <w:tcW w:w="8933" w:type="dxa"/>
            <w:gridSpan w:val="5"/>
            <w:tcBorders>
              <w:bottom w:val="single" w:sz="4" w:space="0" w:color="auto"/>
            </w:tcBorders>
            <w:vAlign w:val="center"/>
          </w:tcPr>
          <w:p w:rsidR="00DA02B9" w:rsidRDefault="003229D3">
            <w:pPr>
              <w:pStyle w:val="310"/>
              <w:widowControl/>
              <w:numPr>
                <w:ilvl w:val="0"/>
                <w:numId w:val="1"/>
              </w:numPr>
              <w:ind w:firstLineChars="0"/>
              <w:jc w:val="left"/>
              <w:rPr>
                <w:rFonts w:ascii="仿宋_GB2312" w:eastAsia="仿宋_GB2312" w:hAnsi="仿宋_GB2312" w:cs="仿宋_GB2312"/>
                <w:b/>
                <w:color w:val="000000"/>
                <w:kern w:val="0"/>
                <w:sz w:val="24"/>
                <w:szCs w:val="24"/>
              </w:rPr>
            </w:pPr>
            <w:r>
              <w:rPr>
                <w:rFonts w:ascii="仿宋_GB2312" w:eastAsia="仿宋_GB2312" w:hAnsi="仿宋_GB2312" w:cs="仿宋_GB2312" w:hint="eastAsia"/>
                <w:b/>
                <w:color w:val="000000"/>
                <w:kern w:val="0"/>
                <w:sz w:val="24"/>
                <w:szCs w:val="24"/>
              </w:rPr>
              <w:t>服务质量</w:t>
            </w:r>
          </w:p>
        </w:tc>
      </w:tr>
      <w:tr w:rsidR="00DA02B9">
        <w:trPr>
          <w:trHeight w:val="300"/>
          <w:jc w:val="center"/>
        </w:trPr>
        <w:tc>
          <w:tcPr>
            <w:tcW w:w="4321" w:type="dxa"/>
            <w:gridSpan w:val="2"/>
            <w:vAlign w:val="center"/>
          </w:tcPr>
          <w:p w:rsidR="00DA02B9" w:rsidRDefault="003229D3">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w:t>
            </w:r>
            <w:r>
              <w:rPr>
                <w:rFonts w:ascii="仿宋_GB2312" w:eastAsia="仿宋_GB2312" w:hAnsi="仿宋_GB2312" w:cs="仿宋_GB2312" w:hint="eastAsia"/>
                <w:color w:val="000000"/>
                <w:kern w:val="0"/>
                <w:sz w:val="24"/>
                <w:szCs w:val="24"/>
              </w:rPr>
              <w:t>19</w:t>
            </w:r>
            <w:r>
              <w:rPr>
                <w:rFonts w:ascii="仿宋_GB2312" w:eastAsia="仿宋_GB2312" w:hAnsi="仿宋_GB2312" w:cs="仿宋_GB2312" w:hint="eastAsia"/>
                <w:color w:val="000000"/>
                <w:kern w:val="0"/>
                <w:sz w:val="24"/>
                <w:szCs w:val="24"/>
              </w:rPr>
              <w:t>）用户申诉率（人次</w:t>
            </w:r>
            <w:r>
              <w:rPr>
                <w:rFonts w:ascii="仿宋_GB2312" w:eastAsia="仿宋_GB2312" w:hAnsi="仿宋_GB2312" w:cs="仿宋_GB2312"/>
                <w:color w:val="000000"/>
                <w:kern w:val="0"/>
                <w:sz w:val="24"/>
                <w:szCs w:val="24"/>
              </w:rPr>
              <w:t>/</w:t>
            </w:r>
            <w:r>
              <w:rPr>
                <w:rFonts w:ascii="仿宋_GB2312" w:eastAsia="仿宋_GB2312" w:hAnsi="仿宋_GB2312" w:cs="仿宋_GB2312"/>
                <w:color w:val="000000"/>
                <w:kern w:val="0"/>
                <w:sz w:val="24"/>
                <w:szCs w:val="24"/>
              </w:rPr>
              <w:t>百万用户）</w:t>
            </w:r>
          </w:p>
        </w:tc>
        <w:tc>
          <w:tcPr>
            <w:tcW w:w="1594" w:type="dxa"/>
            <w:vAlign w:val="center"/>
          </w:tcPr>
          <w:p w:rsidR="00DA02B9" w:rsidRDefault="003229D3">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color w:val="000000"/>
                <w:kern w:val="0"/>
                <w:sz w:val="24"/>
                <w:szCs w:val="24"/>
              </w:rPr>
              <w:t>&lt;70</w:t>
            </w:r>
          </w:p>
        </w:tc>
        <w:tc>
          <w:tcPr>
            <w:tcW w:w="1593" w:type="dxa"/>
            <w:vAlign w:val="center"/>
          </w:tcPr>
          <w:p w:rsidR="00DA02B9" w:rsidRDefault="003229D3">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color w:val="000000"/>
                <w:kern w:val="0"/>
                <w:sz w:val="24"/>
                <w:szCs w:val="24"/>
              </w:rPr>
              <w:t>&lt;</w:t>
            </w:r>
            <w:r>
              <w:rPr>
                <w:rFonts w:ascii="仿宋_GB2312" w:eastAsia="仿宋_GB2312" w:hAnsi="仿宋_GB2312" w:cs="仿宋_GB2312" w:hint="eastAsia"/>
                <w:color w:val="000000"/>
                <w:kern w:val="0"/>
                <w:sz w:val="24"/>
                <w:szCs w:val="24"/>
              </w:rPr>
              <w:t>70</w:t>
            </w:r>
          </w:p>
        </w:tc>
        <w:tc>
          <w:tcPr>
            <w:tcW w:w="1425" w:type="dxa"/>
            <w:vAlign w:val="center"/>
          </w:tcPr>
          <w:p w:rsidR="00DA02B9" w:rsidRDefault="003229D3">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color w:val="000000"/>
                <w:kern w:val="0"/>
                <w:sz w:val="24"/>
                <w:szCs w:val="24"/>
              </w:rPr>
              <w:t>-</w:t>
            </w:r>
          </w:p>
        </w:tc>
      </w:tr>
      <w:tr w:rsidR="00DA02B9">
        <w:trPr>
          <w:trHeight w:val="300"/>
          <w:jc w:val="center"/>
        </w:trPr>
        <w:tc>
          <w:tcPr>
            <w:tcW w:w="8933" w:type="dxa"/>
            <w:gridSpan w:val="5"/>
            <w:tcBorders>
              <w:bottom w:val="single" w:sz="4" w:space="0" w:color="auto"/>
            </w:tcBorders>
            <w:vAlign w:val="center"/>
          </w:tcPr>
          <w:p w:rsidR="00DA02B9" w:rsidRDefault="003229D3">
            <w:pPr>
              <w:widowControl/>
              <w:rPr>
                <w:rFonts w:ascii="仿宋_GB2312" w:eastAsia="仿宋_GB2312" w:hAnsi="仿宋_GB2312" w:cs="仿宋_GB2312"/>
                <w:color w:val="000000"/>
                <w:sz w:val="24"/>
                <w:szCs w:val="24"/>
                <w:shd w:val="clear" w:color="auto" w:fill="FFFFFF"/>
              </w:rPr>
            </w:pPr>
            <w:r>
              <w:rPr>
                <w:rFonts w:ascii="仿宋_GB2312" w:eastAsia="仿宋_GB2312" w:hAnsi="仿宋_GB2312" w:cs="仿宋_GB2312" w:hint="eastAsia"/>
                <w:color w:val="000000"/>
                <w:sz w:val="24"/>
                <w:szCs w:val="24"/>
                <w:shd w:val="clear" w:color="auto" w:fill="FFFFFF"/>
              </w:rPr>
              <w:t>注：</w:t>
            </w:r>
            <w:r>
              <w:rPr>
                <w:rFonts w:ascii="仿宋_GB2312" w:eastAsia="仿宋_GB2312" w:hAnsi="仿宋_GB2312" w:cs="仿宋_GB2312" w:hint="eastAsia"/>
                <w:color w:val="000000"/>
                <w:sz w:val="24"/>
                <w:szCs w:val="24"/>
                <w:shd w:val="clear" w:color="auto" w:fill="FFFFFF"/>
              </w:rPr>
              <w:t>1.</w:t>
            </w:r>
            <w:r>
              <w:rPr>
                <w:rFonts w:ascii="仿宋_GB2312" w:eastAsia="仿宋_GB2312" w:hAnsi="仿宋_GB2312" w:cs="仿宋_GB2312"/>
                <w:color w:val="000000"/>
                <w:sz w:val="24"/>
                <w:szCs w:val="24"/>
                <w:shd w:val="clear" w:color="auto" w:fill="FFFFFF"/>
              </w:rPr>
              <w:t>[</w:t>
            </w:r>
            <w:r>
              <w:rPr>
                <w:rFonts w:ascii="仿宋_GB2312" w:eastAsia="仿宋_GB2312" w:hAnsi="仿宋_GB2312" w:cs="仿宋_GB2312" w:hint="eastAsia"/>
                <w:color w:val="000000"/>
                <w:sz w:val="24"/>
                <w:szCs w:val="24"/>
                <w:shd w:val="clear" w:color="auto" w:fill="FFFFFF"/>
              </w:rPr>
              <w:t xml:space="preserve"> </w:t>
            </w:r>
            <w:r>
              <w:rPr>
                <w:rFonts w:ascii="仿宋_GB2312" w:eastAsia="仿宋_GB2312" w:hAnsi="仿宋_GB2312" w:cs="仿宋_GB2312"/>
                <w:color w:val="000000"/>
                <w:sz w:val="24"/>
                <w:szCs w:val="24"/>
                <w:shd w:val="clear" w:color="auto" w:fill="FFFFFF"/>
              </w:rPr>
              <w:t>]</w:t>
            </w:r>
            <w:r>
              <w:rPr>
                <w:rFonts w:ascii="仿宋_GB2312" w:eastAsia="仿宋_GB2312" w:hAnsi="仿宋_GB2312" w:cs="仿宋_GB2312"/>
                <w:color w:val="000000"/>
                <w:sz w:val="24"/>
                <w:szCs w:val="24"/>
                <w:shd w:val="clear" w:color="auto" w:fill="FFFFFF"/>
              </w:rPr>
              <w:t>内数值为</w:t>
            </w:r>
            <w:r>
              <w:rPr>
                <w:rFonts w:ascii="仿宋_GB2312" w:eastAsia="仿宋_GB2312" w:hAnsi="仿宋_GB2312" w:cs="仿宋_GB2312"/>
                <w:color w:val="000000"/>
                <w:sz w:val="24"/>
                <w:szCs w:val="24"/>
                <w:shd w:val="clear" w:color="auto" w:fill="FFFFFF"/>
              </w:rPr>
              <w:t>5</w:t>
            </w:r>
            <w:r>
              <w:rPr>
                <w:rFonts w:ascii="仿宋_GB2312" w:eastAsia="仿宋_GB2312" w:hAnsi="仿宋_GB2312" w:cs="仿宋_GB2312"/>
                <w:color w:val="000000"/>
                <w:sz w:val="24"/>
                <w:szCs w:val="24"/>
                <w:shd w:val="clear" w:color="auto" w:fill="FFFFFF"/>
              </w:rPr>
              <w:t>年累计变化数</w:t>
            </w:r>
          </w:p>
          <w:p w:rsidR="00DA02B9" w:rsidRDefault="003229D3">
            <w:pPr>
              <w:widowControl/>
              <w:ind w:firstLineChars="200" w:firstLine="480"/>
              <w:rPr>
                <w:rFonts w:ascii="仿宋_GB2312" w:eastAsia="仿宋_GB2312" w:hAnsi="仿宋_GB2312" w:cs="仿宋_GB2312"/>
                <w:color w:val="000000"/>
                <w:sz w:val="24"/>
                <w:szCs w:val="24"/>
                <w:shd w:val="clear" w:color="auto" w:fill="FFFFFF"/>
              </w:rPr>
            </w:pPr>
            <w:r>
              <w:rPr>
                <w:rFonts w:ascii="仿宋_GB2312" w:eastAsia="仿宋_GB2312" w:hAnsi="仿宋_GB2312" w:cs="仿宋_GB2312" w:hint="eastAsia"/>
                <w:color w:val="000000"/>
                <w:sz w:val="24"/>
                <w:szCs w:val="24"/>
                <w:shd w:val="clear" w:color="auto" w:fill="FFFFFF"/>
              </w:rPr>
              <w:t>2.</w:t>
            </w:r>
            <w:r>
              <w:rPr>
                <w:rFonts w:ascii="仿宋_GB2312" w:eastAsia="仿宋_GB2312" w:hAnsi="仿宋_GB2312" w:cs="仿宋_GB2312"/>
                <w:color w:val="000000"/>
                <w:sz w:val="24"/>
                <w:szCs w:val="24"/>
                <w:shd w:val="clear" w:color="auto" w:fill="FFFFFF"/>
              </w:rPr>
              <w:t>IDI</w:t>
            </w:r>
            <w:r>
              <w:rPr>
                <w:rFonts w:ascii="仿宋_GB2312" w:eastAsia="仿宋_GB2312" w:hAnsi="仿宋_GB2312" w:cs="仿宋_GB2312" w:hint="eastAsia"/>
                <w:color w:val="000000"/>
                <w:sz w:val="24"/>
                <w:szCs w:val="24"/>
                <w:shd w:val="clear" w:color="auto" w:fill="FFFFFF"/>
              </w:rPr>
              <w:t>指标由国际电信联盟（</w:t>
            </w:r>
            <w:r>
              <w:rPr>
                <w:rFonts w:ascii="仿宋_GB2312" w:eastAsia="仿宋_GB2312" w:hAnsi="仿宋_GB2312" w:cs="仿宋_GB2312" w:hint="eastAsia"/>
                <w:color w:val="000000"/>
                <w:sz w:val="24"/>
                <w:szCs w:val="24"/>
                <w:shd w:val="clear" w:color="auto" w:fill="FFFFFF"/>
              </w:rPr>
              <w:t>ITU</w:t>
            </w:r>
            <w:r>
              <w:rPr>
                <w:rFonts w:ascii="仿宋_GB2312" w:eastAsia="仿宋_GB2312" w:hAnsi="仿宋_GB2312" w:cs="仿宋_GB2312" w:hint="eastAsia"/>
                <w:color w:val="000000"/>
                <w:sz w:val="24"/>
                <w:szCs w:val="24"/>
                <w:shd w:val="clear" w:color="auto" w:fill="FFFFFF"/>
              </w:rPr>
              <w:t>）计算并定期发布</w:t>
            </w:r>
          </w:p>
        </w:tc>
      </w:tr>
    </w:tbl>
    <w:p w:rsidR="00DA02B9" w:rsidRDefault="003229D3" w:rsidP="00881FE9">
      <w:pPr>
        <w:ind w:firstLineChars="200" w:firstLine="420"/>
      </w:pPr>
      <w:bookmarkStart w:id="40" w:name="_Toc8863"/>
      <w:bookmarkStart w:id="41" w:name="_Toc452557642"/>
      <w:bookmarkStart w:id="42" w:name="_Toc448845022"/>
      <w:bookmarkStart w:id="43" w:name="_Toc4191"/>
      <w:bookmarkStart w:id="44" w:name="_Toc451533432"/>
      <w:bookmarkStart w:id="45" w:name="_Toc4431"/>
      <w:r>
        <w:rPr>
          <w:rFonts w:hint="eastAsia"/>
        </w:rPr>
        <w:br w:type="page"/>
      </w:r>
    </w:p>
    <w:p w:rsidR="00DA02B9" w:rsidRDefault="003229D3">
      <w:pPr>
        <w:pStyle w:val="1"/>
        <w:spacing w:before="0" w:after="0" w:line="240" w:lineRule="auto"/>
        <w:ind w:firstLineChars="200" w:firstLine="640"/>
        <w:rPr>
          <w:rFonts w:ascii="黑体" w:eastAsia="黑体" w:hAnsi="黑体" w:cs="黑体"/>
          <w:b w:val="0"/>
          <w:bCs w:val="0"/>
          <w:color w:val="000000"/>
          <w:kern w:val="0"/>
          <w:sz w:val="32"/>
        </w:rPr>
      </w:pPr>
      <w:r>
        <w:rPr>
          <w:rFonts w:ascii="黑体" w:eastAsia="黑体" w:hAnsi="黑体" w:cs="黑体" w:hint="eastAsia"/>
          <w:b w:val="0"/>
          <w:bCs w:val="0"/>
          <w:color w:val="000000"/>
          <w:kern w:val="0"/>
          <w:sz w:val="32"/>
        </w:rPr>
        <w:lastRenderedPageBreak/>
        <w:t>三、发展重点</w:t>
      </w:r>
      <w:bookmarkEnd w:id="40"/>
      <w:bookmarkEnd w:id="41"/>
      <w:bookmarkEnd w:id="42"/>
      <w:bookmarkEnd w:id="43"/>
      <w:bookmarkEnd w:id="44"/>
      <w:bookmarkEnd w:id="45"/>
    </w:p>
    <w:p w:rsidR="00DA02B9" w:rsidRDefault="003229D3">
      <w:pPr>
        <w:pStyle w:val="2"/>
        <w:spacing w:before="0" w:after="0" w:line="240" w:lineRule="auto"/>
        <w:ind w:left="640"/>
        <w:rPr>
          <w:rFonts w:ascii="楷体_GB2312" w:eastAsia="楷体_GB2312" w:hAnsi="楷体_GB2312" w:cs="楷体_GB2312"/>
          <w:bCs w:val="0"/>
          <w:color w:val="000000"/>
        </w:rPr>
      </w:pPr>
      <w:bookmarkStart w:id="46" w:name="_Toc451533433"/>
      <w:bookmarkStart w:id="47" w:name="_Toc452557643"/>
      <w:bookmarkStart w:id="48" w:name="_Toc19573"/>
      <w:bookmarkStart w:id="49" w:name="_Toc28847"/>
      <w:bookmarkStart w:id="50" w:name="_Toc22328"/>
      <w:bookmarkStart w:id="51" w:name="_Toc448845024"/>
      <w:r>
        <w:rPr>
          <w:rFonts w:ascii="楷体_GB2312" w:eastAsia="楷体_GB2312" w:hAnsi="楷体_GB2312" w:cs="楷体_GB2312" w:hint="eastAsia"/>
          <w:bCs w:val="0"/>
          <w:color w:val="000000"/>
        </w:rPr>
        <w:t>（一）完善基础设施</w:t>
      </w:r>
      <w:bookmarkEnd w:id="46"/>
      <w:bookmarkEnd w:id="47"/>
      <w:bookmarkEnd w:id="48"/>
      <w:bookmarkEnd w:id="49"/>
      <w:bookmarkEnd w:id="50"/>
    </w:p>
    <w:p w:rsidR="00DA02B9" w:rsidRDefault="003229D3">
      <w:pPr>
        <w:pStyle w:val="3"/>
        <w:ind w:firstLine="643"/>
      </w:pPr>
      <w:bookmarkStart w:id="52" w:name="_Toc31430"/>
      <w:bookmarkStart w:id="53" w:name="_Toc451533434"/>
      <w:bookmarkStart w:id="54" w:name="_Toc452557644"/>
      <w:bookmarkStart w:id="55" w:name="_Toc17733"/>
      <w:bookmarkStart w:id="56" w:name="_Toc13809"/>
      <w:r>
        <w:rPr>
          <w:rFonts w:hint="eastAsia"/>
        </w:rPr>
        <w:t xml:space="preserve">1. </w:t>
      </w:r>
      <w:r>
        <w:rPr>
          <w:rFonts w:hint="eastAsia"/>
        </w:rPr>
        <w:t>构建新一代信息通信基础设施</w:t>
      </w:r>
      <w:bookmarkEnd w:id="51"/>
      <w:bookmarkEnd w:id="52"/>
      <w:bookmarkEnd w:id="53"/>
      <w:bookmarkEnd w:id="54"/>
      <w:bookmarkEnd w:id="55"/>
      <w:bookmarkEnd w:id="56"/>
    </w:p>
    <w:p w:rsidR="00DA02B9" w:rsidRDefault="003229D3">
      <w:pPr>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推动高速光纤宽带网络跨越发展。基本完成老旧小区光网改造，实现城镇地区光网覆盖，提供</w:t>
      </w:r>
      <w:r>
        <w:rPr>
          <w:rFonts w:ascii="仿宋_GB2312" w:eastAsia="仿宋_GB2312" w:hAnsi="仿宋_GB2312" w:cs="仿宋_GB2312" w:hint="eastAsia"/>
          <w:color w:val="000000"/>
          <w:kern w:val="0"/>
          <w:sz w:val="32"/>
          <w:szCs w:val="32"/>
        </w:rPr>
        <w:t>1000</w:t>
      </w:r>
      <w:r>
        <w:rPr>
          <w:rFonts w:ascii="仿宋_GB2312" w:eastAsia="仿宋_GB2312" w:hAnsi="仿宋_GB2312" w:cs="仿宋_GB2312" w:hint="eastAsia"/>
          <w:color w:val="000000"/>
          <w:kern w:val="0"/>
          <w:sz w:val="32"/>
          <w:szCs w:val="32"/>
        </w:rPr>
        <w:t>兆比特每秒以上接入服务能力，大中城市家庭用户带宽实现</w:t>
      </w:r>
      <w:r>
        <w:rPr>
          <w:rFonts w:ascii="仿宋_GB2312" w:eastAsia="仿宋_GB2312" w:hAnsi="仿宋_GB2312" w:cs="仿宋_GB2312" w:hint="eastAsia"/>
          <w:color w:val="000000"/>
          <w:kern w:val="0"/>
          <w:sz w:val="32"/>
          <w:szCs w:val="32"/>
        </w:rPr>
        <w:t>100</w:t>
      </w:r>
      <w:r>
        <w:rPr>
          <w:rFonts w:ascii="仿宋_GB2312" w:eastAsia="仿宋_GB2312" w:hAnsi="仿宋_GB2312" w:cs="仿宋_GB2312" w:hint="eastAsia"/>
          <w:color w:val="000000"/>
          <w:kern w:val="0"/>
          <w:sz w:val="32"/>
          <w:szCs w:val="32"/>
        </w:rPr>
        <w:t>兆比特每秒以上灵活选择。基本实现行政村光纤通达，有条件地区提供</w:t>
      </w:r>
      <w:r>
        <w:rPr>
          <w:rFonts w:ascii="仿宋_GB2312" w:eastAsia="仿宋_GB2312" w:hAnsi="仿宋_GB2312" w:cs="仿宋_GB2312" w:hint="eastAsia"/>
          <w:color w:val="000000"/>
          <w:kern w:val="0"/>
          <w:sz w:val="32"/>
          <w:szCs w:val="32"/>
        </w:rPr>
        <w:t>100</w:t>
      </w:r>
      <w:r>
        <w:rPr>
          <w:rFonts w:ascii="仿宋_GB2312" w:eastAsia="仿宋_GB2312" w:hAnsi="仿宋_GB2312" w:cs="仿宋_GB2312" w:hint="eastAsia"/>
          <w:color w:val="000000"/>
          <w:kern w:val="0"/>
          <w:sz w:val="32"/>
          <w:szCs w:val="32"/>
        </w:rPr>
        <w:t>兆比特每秒以上接入服务能力，半数以上农村家庭用户带宽实现</w:t>
      </w:r>
      <w:r>
        <w:rPr>
          <w:rFonts w:ascii="仿宋_GB2312" w:eastAsia="仿宋_GB2312" w:hAnsi="仿宋_GB2312" w:cs="仿宋_GB2312" w:hint="eastAsia"/>
          <w:color w:val="000000"/>
          <w:kern w:val="0"/>
          <w:sz w:val="32"/>
          <w:szCs w:val="32"/>
        </w:rPr>
        <w:t>50</w:t>
      </w:r>
      <w:r>
        <w:rPr>
          <w:rFonts w:ascii="仿宋_GB2312" w:eastAsia="仿宋_GB2312" w:hAnsi="仿宋_GB2312" w:cs="仿宋_GB2312" w:hint="eastAsia"/>
          <w:color w:val="000000"/>
          <w:kern w:val="0"/>
          <w:sz w:val="32"/>
          <w:szCs w:val="32"/>
        </w:rPr>
        <w:t>兆比特每秒以上灵活选择。推进超高速、大容量光传输技术应用，升级骨干传输网，提升高速传送、灵活调度和智能适配能力。</w:t>
      </w:r>
    </w:p>
    <w:p w:rsidR="00DA02B9" w:rsidRDefault="003229D3">
      <w:pPr>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加快建设先进泛在的无线宽带网。促进城市和农村地区无线宽带网络的协调发展，实现</w:t>
      </w:r>
      <w:r>
        <w:rPr>
          <w:rFonts w:ascii="仿宋_GB2312" w:eastAsia="仿宋_GB2312" w:hAnsi="仿宋_GB2312" w:cs="仿宋_GB2312" w:hint="eastAsia"/>
          <w:color w:val="000000"/>
          <w:kern w:val="0"/>
          <w:sz w:val="32"/>
          <w:szCs w:val="32"/>
        </w:rPr>
        <w:t>4G</w:t>
      </w:r>
      <w:r>
        <w:rPr>
          <w:rFonts w:ascii="仿宋_GB2312" w:eastAsia="仿宋_GB2312" w:hAnsi="仿宋_GB2312" w:cs="仿宋_GB2312" w:hint="eastAsia"/>
          <w:color w:val="000000"/>
          <w:kern w:val="0"/>
          <w:sz w:val="32"/>
          <w:szCs w:val="32"/>
        </w:rPr>
        <w:t>网络深度和广度覆盖。完善城镇热点公共区域</w:t>
      </w:r>
      <w:r>
        <w:rPr>
          <w:rFonts w:ascii="仿宋_GB2312" w:eastAsia="仿宋_GB2312" w:hAnsi="仿宋_GB2312" w:cs="仿宋_GB2312" w:hint="eastAsia"/>
          <w:color w:val="000000"/>
          <w:kern w:val="0"/>
          <w:sz w:val="32"/>
          <w:szCs w:val="32"/>
        </w:rPr>
        <w:t>W</w:t>
      </w:r>
      <w:r>
        <w:rPr>
          <w:rFonts w:ascii="仿宋_GB2312" w:eastAsia="仿宋_GB2312" w:hAnsi="仿宋_GB2312" w:cs="仿宋_GB2312" w:hint="eastAsia"/>
          <w:color w:val="000000"/>
          <w:kern w:val="0"/>
          <w:sz w:val="32"/>
          <w:szCs w:val="32"/>
        </w:rPr>
        <w:t>LAN</w:t>
      </w:r>
      <w:r>
        <w:rPr>
          <w:rFonts w:ascii="仿宋_GB2312" w:eastAsia="仿宋_GB2312" w:hAnsi="仿宋_GB2312" w:cs="仿宋_GB2312" w:hint="eastAsia"/>
          <w:color w:val="000000"/>
          <w:kern w:val="0"/>
          <w:sz w:val="32"/>
          <w:szCs w:val="32"/>
        </w:rPr>
        <w:t>覆盖。加强城市通信基础设施专项规划与城市总体规划的衔接，满足通信管线、机房、基站等通信基础设施的建设需求。统筹卫星通信系统建设，与地面信息通信基础设施实现优势互补融合发展。以需求为导向，灵活选取无线宽带接入技术，加快边远山区、牧区及岛礁等网络覆盖。</w:t>
      </w:r>
    </w:p>
    <w:p w:rsidR="00DA02B9" w:rsidRDefault="003229D3">
      <w:pPr>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优化网络结构布局。以数据中心为核心，打破传统地域和行政区划组网模式，推动传统网络的转型升级，构建支撑互联网业务发展的新型网络。扩容骨干网互联带宽，提升网</w:t>
      </w:r>
      <w:r>
        <w:rPr>
          <w:rFonts w:ascii="仿宋_GB2312" w:eastAsia="仿宋_GB2312" w:hAnsi="仿宋_GB2312" w:cs="仿宋_GB2312" w:hint="eastAsia"/>
          <w:color w:val="000000"/>
          <w:kern w:val="0"/>
          <w:sz w:val="32"/>
          <w:szCs w:val="32"/>
        </w:rPr>
        <w:lastRenderedPageBreak/>
        <w:t>间互通质量。推动新型互联网交换中心建设，与骨干直联点协同发展。推进国际通信网络节点建设，合理设置海外</w:t>
      </w:r>
      <w:r>
        <w:rPr>
          <w:rFonts w:ascii="仿宋_GB2312" w:eastAsia="仿宋_GB2312" w:hAnsi="仿宋_GB2312" w:cs="仿宋_GB2312" w:hint="eastAsia"/>
          <w:color w:val="000000"/>
          <w:kern w:val="0"/>
          <w:sz w:val="32"/>
          <w:szCs w:val="32"/>
        </w:rPr>
        <w:t>IDC</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hint="eastAsia"/>
          <w:color w:val="000000"/>
          <w:kern w:val="0"/>
          <w:sz w:val="32"/>
          <w:szCs w:val="32"/>
        </w:rPr>
        <w:t>CDN</w:t>
      </w:r>
      <w:r>
        <w:rPr>
          <w:rFonts w:ascii="仿宋_GB2312" w:eastAsia="仿宋_GB2312" w:hAnsi="仿宋_GB2312" w:cs="仿宋_GB2312" w:hint="eastAsia"/>
          <w:color w:val="000000"/>
          <w:kern w:val="0"/>
          <w:sz w:val="32"/>
          <w:szCs w:val="32"/>
        </w:rPr>
        <w:t>和</w:t>
      </w:r>
      <w:r>
        <w:rPr>
          <w:rFonts w:ascii="仿宋_GB2312" w:eastAsia="仿宋_GB2312" w:hAnsi="仿宋_GB2312" w:cs="仿宋_GB2312" w:hint="eastAsia"/>
          <w:color w:val="000000"/>
          <w:kern w:val="0"/>
          <w:sz w:val="32"/>
          <w:szCs w:val="32"/>
        </w:rPr>
        <w:t>POP</w:t>
      </w:r>
      <w:r>
        <w:rPr>
          <w:rFonts w:ascii="仿宋_GB2312" w:eastAsia="仿宋_GB2312" w:hAnsi="仿宋_GB2312" w:cs="仿宋_GB2312" w:hint="eastAsia"/>
          <w:color w:val="000000"/>
          <w:kern w:val="0"/>
          <w:sz w:val="32"/>
          <w:szCs w:val="32"/>
        </w:rPr>
        <w:t>点。推进互联网国际访问性能监测平台建设，提升国际网络服务质量保障能力。夯实</w:t>
      </w:r>
      <w:r>
        <w:rPr>
          <w:rFonts w:ascii="仿宋_GB2312" w:eastAsia="仿宋_GB2312" w:hAnsi="仿宋_GB2312" w:cs="仿宋_GB2312" w:hint="eastAsia"/>
          <w:color w:val="000000"/>
          <w:kern w:val="0"/>
          <w:sz w:val="32"/>
          <w:szCs w:val="32"/>
        </w:rPr>
        <w:t>IPv6</w:t>
      </w:r>
      <w:r>
        <w:rPr>
          <w:rFonts w:ascii="仿宋_GB2312" w:eastAsia="仿宋_GB2312" w:hAnsi="仿宋_GB2312" w:cs="仿宋_GB2312" w:hint="eastAsia"/>
          <w:color w:val="000000"/>
          <w:kern w:val="0"/>
          <w:sz w:val="32"/>
          <w:szCs w:val="32"/>
        </w:rPr>
        <w:t>网络基础设施，完成国内互联网的</w:t>
      </w:r>
      <w:r>
        <w:rPr>
          <w:rFonts w:ascii="仿宋_GB2312" w:eastAsia="仿宋_GB2312" w:hAnsi="仿宋_GB2312" w:cs="仿宋_GB2312" w:hint="eastAsia"/>
          <w:color w:val="000000"/>
          <w:kern w:val="0"/>
          <w:sz w:val="32"/>
          <w:szCs w:val="32"/>
        </w:rPr>
        <w:t>IPv6</w:t>
      </w:r>
      <w:r>
        <w:rPr>
          <w:rFonts w:ascii="仿宋_GB2312" w:eastAsia="仿宋_GB2312" w:hAnsi="仿宋_GB2312" w:cs="仿宋_GB2312" w:hint="eastAsia"/>
          <w:color w:val="000000"/>
          <w:kern w:val="0"/>
          <w:sz w:val="32"/>
          <w:szCs w:val="32"/>
        </w:rPr>
        <w:t>升级改造和</w:t>
      </w:r>
      <w:r>
        <w:rPr>
          <w:rFonts w:ascii="仿宋_GB2312" w:eastAsia="仿宋_GB2312" w:hAnsi="仿宋_GB2312" w:cs="仿宋_GB2312" w:hint="eastAsia"/>
          <w:color w:val="000000"/>
          <w:kern w:val="0"/>
          <w:sz w:val="32"/>
          <w:szCs w:val="32"/>
        </w:rPr>
        <w:t>IPv6</w:t>
      </w:r>
      <w:r>
        <w:rPr>
          <w:rFonts w:ascii="仿宋_GB2312" w:eastAsia="仿宋_GB2312" w:hAnsi="仿宋_GB2312" w:cs="仿宋_GB2312" w:hint="eastAsia"/>
          <w:color w:val="000000"/>
          <w:kern w:val="0"/>
          <w:sz w:val="32"/>
          <w:szCs w:val="32"/>
        </w:rPr>
        <w:t>国际出入口建设。</w:t>
      </w:r>
    </w:p>
    <w:tbl>
      <w:tblPr>
        <w:tblW w:w="82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66"/>
      </w:tblGrid>
      <w:tr w:rsidR="00DA02B9">
        <w:trPr>
          <w:jc w:val="center"/>
        </w:trPr>
        <w:tc>
          <w:tcPr>
            <w:tcW w:w="8266" w:type="dxa"/>
            <w:tcBorders>
              <w:top w:val="single" w:sz="4" w:space="0" w:color="auto"/>
              <w:left w:val="single" w:sz="4" w:space="0" w:color="auto"/>
              <w:bottom w:val="single" w:sz="4" w:space="0" w:color="auto"/>
              <w:right w:val="single" w:sz="4" w:space="0" w:color="auto"/>
            </w:tcBorders>
          </w:tcPr>
          <w:p w:rsidR="00DA02B9" w:rsidRDefault="003229D3">
            <w:pPr>
              <w:spacing w:line="440" w:lineRule="exact"/>
              <w:jc w:val="center"/>
              <w:rPr>
                <w:rFonts w:ascii="宋体" w:hAnsi="宋体" w:cs="宋体"/>
                <w:b/>
                <w:color w:val="000000"/>
                <w:kern w:val="0"/>
                <w:sz w:val="24"/>
                <w:szCs w:val="24"/>
              </w:rPr>
            </w:pPr>
            <w:r>
              <w:rPr>
                <w:rFonts w:ascii="宋体" w:hAnsi="宋体" w:cs="宋体" w:hint="eastAsia"/>
                <w:b/>
                <w:color w:val="000000"/>
                <w:sz w:val="24"/>
                <w:szCs w:val="24"/>
              </w:rPr>
              <w:t>专栏</w:t>
            </w:r>
            <w:r>
              <w:rPr>
                <w:rFonts w:ascii="宋体" w:hAnsi="宋体" w:cs="宋体" w:hint="eastAsia"/>
                <w:b/>
                <w:color w:val="000000"/>
                <w:sz w:val="24"/>
                <w:szCs w:val="24"/>
              </w:rPr>
              <w:t>2</w:t>
            </w:r>
            <w:r>
              <w:rPr>
                <w:rFonts w:ascii="宋体" w:hAnsi="宋体" w:cs="宋体" w:hint="eastAsia"/>
                <w:b/>
                <w:color w:val="000000"/>
                <w:sz w:val="24"/>
                <w:szCs w:val="24"/>
              </w:rPr>
              <w:t>：网络架构升级优化工程</w:t>
            </w:r>
          </w:p>
          <w:p w:rsidR="00DA02B9" w:rsidRDefault="003229D3" w:rsidP="00881FE9">
            <w:pPr>
              <w:spacing w:line="440" w:lineRule="exact"/>
              <w:ind w:firstLineChars="175" w:firstLine="422"/>
              <w:rPr>
                <w:rFonts w:ascii="宋体" w:hAnsi="宋体" w:cs="宋体"/>
                <w:color w:val="000000"/>
                <w:sz w:val="24"/>
                <w:szCs w:val="24"/>
              </w:rPr>
            </w:pPr>
            <w:r>
              <w:rPr>
                <w:rFonts w:ascii="宋体" w:hAnsi="宋体" w:cs="宋体" w:hint="eastAsia"/>
                <w:b/>
                <w:color w:val="000000"/>
                <w:kern w:val="0"/>
                <w:sz w:val="24"/>
                <w:szCs w:val="24"/>
              </w:rPr>
              <w:t>工程目标</w:t>
            </w:r>
            <w:r>
              <w:rPr>
                <w:rFonts w:ascii="宋体" w:hAnsi="宋体" w:cs="宋体" w:hint="eastAsia"/>
                <w:color w:val="000000"/>
                <w:kern w:val="0"/>
                <w:sz w:val="24"/>
                <w:szCs w:val="24"/>
              </w:rPr>
              <w:t>：升级优化网络结构，满足互联网业务发展需要。</w:t>
            </w:r>
          </w:p>
          <w:p w:rsidR="00DA02B9" w:rsidRDefault="003229D3" w:rsidP="00881FE9">
            <w:pPr>
              <w:spacing w:line="440" w:lineRule="exact"/>
              <w:ind w:firstLineChars="175" w:firstLine="422"/>
              <w:rPr>
                <w:rFonts w:ascii="宋体" w:hAnsi="宋体" w:cs="宋体"/>
                <w:color w:val="000000"/>
                <w:sz w:val="24"/>
                <w:szCs w:val="24"/>
              </w:rPr>
            </w:pPr>
            <w:r>
              <w:rPr>
                <w:rFonts w:ascii="宋体" w:hAnsi="宋体" w:cs="宋体" w:hint="eastAsia"/>
                <w:b/>
                <w:color w:val="000000"/>
                <w:kern w:val="0"/>
                <w:sz w:val="24"/>
                <w:szCs w:val="24"/>
              </w:rPr>
              <w:t>工程内容</w:t>
            </w:r>
            <w:r>
              <w:rPr>
                <w:rFonts w:ascii="宋体" w:hAnsi="宋体" w:cs="宋体" w:hint="eastAsia"/>
                <w:color w:val="000000"/>
                <w:kern w:val="0"/>
                <w:sz w:val="24"/>
                <w:szCs w:val="24"/>
              </w:rPr>
              <w:t>：加快</w:t>
            </w:r>
            <w:r>
              <w:rPr>
                <w:rFonts w:ascii="宋体" w:hAnsi="宋体" w:cs="宋体" w:hint="eastAsia"/>
                <w:color w:val="000000"/>
                <w:kern w:val="0"/>
                <w:sz w:val="24"/>
                <w:szCs w:val="24"/>
              </w:rPr>
              <w:t>NFV</w:t>
            </w:r>
            <w:r>
              <w:rPr>
                <w:rFonts w:ascii="宋体" w:hAnsi="宋体" w:cs="宋体" w:hint="eastAsia"/>
                <w:color w:val="000000"/>
                <w:kern w:val="0"/>
                <w:sz w:val="24"/>
                <w:szCs w:val="24"/>
              </w:rPr>
              <w:t>、</w:t>
            </w:r>
            <w:r>
              <w:rPr>
                <w:rFonts w:ascii="宋体" w:hAnsi="宋体" w:cs="宋体" w:hint="eastAsia"/>
                <w:color w:val="000000"/>
                <w:kern w:val="0"/>
                <w:sz w:val="24"/>
                <w:szCs w:val="24"/>
              </w:rPr>
              <w:t>SDN</w:t>
            </w:r>
            <w:r>
              <w:rPr>
                <w:rFonts w:ascii="宋体" w:hAnsi="宋体" w:cs="宋体" w:hint="eastAsia"/>
                <w:color w:val="000000"/>
                <w:kern w:val="0"/>
                <w:sz w:val="24"/>
                <w:szCs w:val="24"/>
              </w:rPr>
              <w:t>等新技术应用。推进传统电信业务向云计算平台迁移。加大集群路由器部署，扩容骨干互联网带宽。提升数据中心节点层级，推进数据承载网络结构扁平化。大规模部署</w:t>
            </w:r>
            <w:r>
              <w:rPr>
                <w:rFonts w:ascii="宋体" w:hAnsi="宋体" w:cs="宋体" w:hint="eastAsia"/>
                <w:color w:val="000000"/>
                <w:kern w:val="0"/>
                <w:sz w:val="24"/>
                <w:szCs w:val="24"/>
              </w:rPr>
              <w:t>CDN</w:t>
            </w:r>
            <w:r>
              <w:rPr>
                <w:rFonts w:ascii="宋体" w:hAnsi="宋体" w:cs="宋体" w:hint="eastAsia"/>
                <w:color w:val="000000"/>
                <w:kern w:val="0"/>
                <w:sz w:val="24"/>
                <w:szCs w:val="24"/>
              </w:rPr>
              <w:t>，缓解网络承载压力。加强顶层设计，合理布局骨干直联点，建设新型互联网交换中心。建设完善互联网网络运行及互联互通监测系统。将数据中心节点需求纳入骨干传输网络统一承载，流量疏导由环网向网状网为主演进。增加数据中心所在区域的光缆连通度。</w:t>
            </w:r>
          </w:p>
        </w:tc>
      </w:tr>
    </w:tbl>
    <w:p w:rsidR="00DA02B9" w:rsidRDefault="00DA02B9">
      <w:pPr>
        <w:rPr>
          <w:rFonts w:ascii="仿宋_GB2312" w:eastAsia="仿宋_GB2312" w:hAnsi="仿宋_GB2312" w:cs="仿宋_GB2312"/>
          <w:color w:val="000000"/>
          <w:kern w:val="0"/>
          <w:sz w:val="32"/>
          <w:szCs w:val="32"/>
        </w:rPr>
      </w:pPr>
    </w:p>
    <w:tbl>
      <w:tblPr>
        <w:tblW w:w="82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22"/>
      </w:tblGrid>
      <w:tr w:rsidR="00DA02B9">
        <w:tc>
          <w:tcPr>
            <w:tcW w:w="8222" w:type="dxa"/>
            <w:tcBorders>
              <w:top w:val="single" w:sz="4" w:space="0" w:color="auto"/>
              <w:left w:val="single" w:sz="4" w:space="0" w:color="auto"/>
              <w:bottom w:val="single" w:sz="4" w:space="0" w:color="auto"/>
              <w:right w:val="single" w:sz="4" w:space="0" w:color="auto"/>
            </w:tcBorders>
          </w:tcPr>
          <w:p w:rsidR="00DA02B9" w:rsidRDefault="003229D3">
            <w:pPr>
              <w:spacing w:line="440" w:lineRule="exact"/>
              <w:jc w:val="center"/>
              <w:rPr>
                <w:rFonts w:ascii="宋体" w:hAnsi="宋体" w:cs="宋体"/>
                <w:b/>
                <w:color w:val="000000"/>
                <w:sz w:val="24"/>
                <w:szCs w:val="24"/>
              </w:rPr>
            </w:pPr>
            <w:r>
              <w:rPr>
                <w:rFonts w:ascii="宋体" w:hAnsi="宋体" w:cs="宋体" w:hint="eastAsia"/>
                <w:b/>
                <w:color w:val="000000"/>
                <w:sz w:val="24"/>
                <w:szCs w:val="24"/>
              </w:rPr>
              <w:t>专栏</w:t>
            </w:r>
            <w:r>
              <w:rPr>
                <w:rFonts w:ascii="宋体" w:hAnsi="宋体" w:cs="宋体" w:hint="eastAsia"/>
                <w:b/>
                <w:color w:val="000000"/>
                <w:sz w:val="24"/>
                <w:szCs w:val="24"/>
              </w:rPr>
              <w:t>3</w:t>
            </w:r>
            <w:r>
              <w:rPr>
                <w:rFonts w:ascii="宋体" w:hAnsi="宋体" w:cs="宋体" w:hint="eastAsia"/>
                <w:b/>
                <w:color w:val="000000"/>
                <w:sz w:val="24"/>
                <w:szCs w:val="24"/>
              </w:rPr>
              <w:t>：国际通信网络部署工程</w:t>
            </w:r>
          </w:p>
          <w:p w:rsidR="00DA02B9" w:rsidRDefault="003229D3" w:rsidP="00881FE9">
            <w:pPr>
              <w:spacing w:line="440" w:lineRule="exact"/>
              <w:ind w:firstLineChars="175" w:firstLine="422"/>
              <w:rPr>
                <w:rFonts w:ascii="宋体" w:hAnsi="宋体" w:cs="宋体"/>
                <w:b/>
                <w:color w:val="000000"/>
                <w:sz w:val="24"/>
                <w:szCs w:val="24"/>
              </w:rPr>
            </w:pPr>
            <w:r>
              <w:rPr>
                <w:rFonts w:ascii="宋体" w:hAnsi="宋体" w:cs="宋体" w:hint="eastAsia"/>
                <w:b/>
                <w:color w:val="000000"/>
                <w:sz w:val="24"/>
                <w:szCs w:val="24"/>
              </w:rPr>
              <w:t>工程目标：</w:t>
            </w:r>
            <w:r>
              <w:rPr>
                <w:rFonts w:ascii="宋体" w:hAnsi="宋体" w:cs="宋体" w:hint="eastAsia"/>
                <w:color w:val="000000"/>
                <w:sz w:val="24"/>
                <w:szCs w:val="24"/>
              </w:rPr>
              <w:t>完善国际海陆缆和海外</w:t>
            </w:r>
            <w:r>
              <w:rPr>
                <w:rFonts w:ascii="宋体" w:hAnsi="宋体" w:cs="宋体" w:hint="eastAsia"/>
                <w:color w:val="000000"/>
                <w:sz w:val="24"/>
                <w:szCs w:val="24"/>
              </w:rPr>
              <w:t>POP</w:t>
            </w:r>
            <w:r>
              <w:rPr>
                <w:rFonts w:ascii="宋体" w:hAnsi="宋体" w:cs="宋体" w:hint="eastAsia"/>
                <w:color w:val="000000"/>
                <w:sz w:val="24"/>
                <w:szCs w:val="24"/>
              </w:rPr>
              <w:t>点布局，实现与更多运营商的互联互通。</w:t>
            </w:r>
          </w:p>
          <w:p w:rsidR="00DA02B9" w:rsidRDefault="003229D3" w:rsidP="00881FE9">
            <w:pPr>
              <w:spacing w:line="440" w:lineRule="exact"/>
              <w:ind w:firstLineChars="175" w:firstLine="422"/>
              <w:rPr>
                <w:rFonts w:ascii="仿宋_GB2312" w:eastAsia="仿宋_GB2312" w:hAnsi="仿宋_GB2312" w:cs="仿宋_GB2312"/>
                <w:b/>
                <w:color w:val="000000"/>
                <w:sz w:val="24"/>
                <w:szCs w:val="24"/>
              </w:rPr>
            </w:pPr>
            <w:r>
              <w:rPr>
                <w:rFonts w:ascii="宋体" w:hAnsi="宋体" w:cs="宋体" w:hint="eastAsia"/>
                <w:b/>
                <w:color w:val="000000"/>
                <w:sz w:val="24"/>
                <w:szCs w:val="24"/>
              </w:rPr>
              <w:t>工程内容：</w:t>
            </w:r>
            <w:r>
              <w:rPr>
                <w:rFonts w:ascii="宋体" w:hAnsi="宋体" w:cs="宋体" w:hint="eastAsia"/>
                <w:color w:val="000000"/>
                <w:sz w:val="24"/>
                <w:szCs w:val="24"/>
              </w:rPr>
              <w:t>一是国际海陆缆建设。建设我国通达</w:t>
            </w:r>
            <w:r>
              <w:rPr>
                <w:rFonts w:ascii="宋体" w:hAnsi="宋体" w:cs="宋体" w:hint="eastAsia"/>
                <w:color w:val="000000"/>
                <w:sz w:val="24"/>
                <w:szCs w:val="24"/>
              </w:rPr>
              <w:t>北美</w:t>
            </w:r>
            <w:r>
              <w:rPr>
                <w:rFonts w:ascii="宋体" w:hAnsi="宋体" w:cs="宋体" w:hint="eastAsia"/>
                <w:color w:val="000000"/>
                <w:sz w:val="24"/>
                <w:szCs w:val="24"/>
              </w:rPr>
              <w:t>、亚太、欧洲、非洲、拉美等方向的国际海缆项目，重点考虑中俄、中国</w:t>
            </w:r>
            <w:r>
              <w:rPr>
                <w:rFonts w:ascii="宋体" w:hAnsi="宋体" w:cs="宋体" w:hint="eastAsia"/>
                <w:color w:val="000000"/>
                <w:sz w:val="24"/>
                <w:szCs w:val="24"/>
              </w:rPr>
              <w:t>-</w:t>
            </w:r>
            <w:r>
              <w:rPr>
                <w:rFonts w:ascii="宋体" w:hAnsi="宋体" w:cs="宋体" w:hint="eastAsia"/>
                <w:color w:val="000000"/>
                <w:sz w:val="24"/>
                <w:szCs w:val="24"/>
              </w:rPr>
              <w:t>东盟、</w:t>
            </w:r>
            <w:r>
              <w:rPr>
                <w:rFonts w:ascii="宋体" w:hAnsi="宋体" w:cs="宋体" w:hint="eastAsia"/>
                <w:color w:val="000000"/>
                <w:sz w:val="24"/>
                <w:szCs w:val="24"/>
              </w:rPr>
              <w:t>中国</w:t>
            </w:r>
            <w:r>
              <w:rPr>
                <w:rFonts w:ascii="宋体" w:hAnsi="宋体" w:cs="宋体" w:hint="eastAsia"/>
                <w:color w:val="000000"/>
                <w:sz w:val="24"/>
                <w:szCs w:val="24"/>
              </w:rPr>
              <w:t>-</w:t>
            </w:r>
            <w:r>
              <w:rPr>
                <w:rFonts w:ascii="宋体" w:hAnsi="宋体" w:cs="宋体" w:hint="eastAsia"/>
                <w:color w:val="000000"/>
                <w:sz w:val="24"/>
                <w:szCs w:val="24"/>
              </w:rPr>
              <w:t>南亚、</w:t>
            </w:r>
            <w:r>
              <w:rPr>
                <w:rFonts w:ascii="宋体" w:hAnsi="宋体" w:cs="宋体" w:hint="eastAsia"/>
                <w:color w:val="000000"/>
                <w:sz w:val="24"/>
                <w:szCs w:val="24"/>
              </w:rPr>
              <w:t>中国</w:t>
            </w:r>
            <w:r>
              <w:rPr>
                <w:rFonts w:ascii="宋体" w:hAnsi="宋体" w:cs="宋体" w:hint="eastAsia"/>
                <w:color w:val="000000"/>
                <w:sz w:val="24"/>
                <w:szCs w:val="24"/>
              </w:rPr>
              <w:t>-</w:t>
            </w:r>
            <w:r>
              <w:rPr>
                <w:rFonts w:ascii="宋体" w:hAnsi="宋体" w:cs="宋体" w:hint="eastAsia"/>
                <w:color w:val="000000"/>
                <w:sz w:val="24"/>
                <w:szCs w:val="24"/>
              </w:rPr>
              <w:t>中亚等方向的跨境陆缆建设，继续与周边国家开展跨境光缆</w:t>
            </w:r>
            <w:r>
              <w:rPr>
                <w:rFonts w:ascii="宋体" w:hAnsi="宋体" w:cs="宋体" w:hint="eastAsia"/>
                <w:color w:val="000000"/>
                <w:sz w:val="24"/>
                <w:szCs w:val="24"/>
              </w:rPr>
              <w:t>建设</w:t>
            </w:r>
            <w:r>
              <w:rPr>
                <w:rFonts w:ascii="宋体" w:hAnsi="宋体" w:cs="宋体" w:hint="eastAsia"/>
                <w:color w:val="000000"/>
                <w:sz w:val="24"/>
                <w:szCs w:val="24"/>
              </w:rPr>
              <w:t>，并根据业务发展情况与有条件的国家和地区建立直达跨境光缆，适时扩容、优化现有跨境系统，探索</w:t>
            </w:r>
            <w:r>
              <w:rPr>
                <w:rFonts w:ascii="宋体" w:hAnsi="宋体" w:cs="宋体" w:hint="eastAsia"/>
                <w:color w:val="000000"/>
                <w:sz w:val="24"/>
                <w:szCs w:val="24"/>
              </w:rPr>
              <w:t>开展</w:t>
            </w:r>
            <w:r>
              <w:rPr>
                <w:rFonts w:ascii="宋体" w:hAnsi="宋体" w:cs="宋体" w:hint="eastAsia"/>
                <w:color w:val="000000"/>
                <w:sz w:val="24"/>
                <w:szCs w:val="24"/>
              </w:rPr>
              <w:t>跨境转接。二是海外</w:t>
            </w:r>
            <w:r>
              <w:rPr>
                <w:rFonts w:ascii="宋体" w:hAnsi="宋体" w:cs="宋体" w:hint="eastAsia"/>
                <w:color w:val="000000"/>
                <w:sz w:val="24"/>
                <w:szCs w:val="24"/>
              </w:rPr>
              <w:t>POP</w:t>
            </w:r>
            <w:r>
              <w:rPr>
                <w:rFonts w:ascii="宋体" w:hAnsi="宋体" w:cs="宋体" w:hint="eastAsia"/>
                <w:color w:val="000000"/>
                <w:sz w:val="24"/>
                <w:szCs w:val="24"/>
              </w:rPr>
              <w:t>点建设。重点在周边国家和地区以及欧洲、非洲、拉美国家部署海外</w:t>
            </w:r>
            <w:r>
              <w:rPr>
                <w:rFonts w:ascii="宋体" w:hAnsi="宋体" w:cs="宋体" w:hint="eastAsia"/>
                <w:color w:val="000000"/>
                <w:sz w:val="24"/>
                <w:szCs w:val="24"/>
              </w:rPr>
              <w:t>POP</w:t>
            </w:r>
            <w:r>
              <w:rPr>
                <w:rFonts w:ascii="宋体" w:hAnsi="宋体" w:cs="宋体" w:hint="eastAsia"/>
                <w:color w:val="000000"/>
                <w:sz w:val="24"/>
                <w:szCs w:val="24"/>
              </w:rPr>
              <w:t>点。</w:t>
            </w:r>
          </w:p>
        </w:tc>
      </w:tr>
    </w:tbl>
    <w:p w:rsidR="00DA02B9" w:rsidRDefault="003229D3">
      <w:pPr>
        <w:pStyle w:val="3"/>
        <w:ind w:firstLine="643"/>
      </w:pPr>
      <w:bookmarkStart w:id="57" w:name="_Toc19480"/>
      <w:bookmarkStart w:id="58" w:name="_Toc451533435"/>
      <w:bookmarkStart w:id="59" w:name="_Toc21482"/>
      <w:bookmarkStart w:id="60" w:name="_Toc4922"/>
      <w:bookmarkStart w:id="61" w:name="_Toc452557645"/>
      <w:bookmarkStart w:id="62" w:name="_Toc448845025"/>
      <w:r>
        <w:rPr>
          <w:rFonts w:hint="eastAsia"/>
        </w:rPr>
        <w:t xml:space="preserve">2. </w:t>
      </w:r>
      <w:r>
        <w:rPr>
          <w:rFonts w:hint="eastAsia"/>
        </w:rPr>
        <w:t>夯实互联网和物联网应用基础设施</w:t>
      </w:r>
      <w:bookmarkEnd w:id="57"/>
      <w:bookmarkEnd w:id="58"/>
      <w:bookmarkEnd w:id="59"/>
      <w:bookmarkEnd w:id="60"/>
      <w:bookmarkEnd w:id="61"/>
      <w:bookmarkEnd w:id="62"/>
    </w:p>
    <w:p w:rsidR="00DA02B9" w:rsidRDefault="003229D3">
      <w:pPr>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加强数据中心建设的统筹规划，引导大型和超大型数据中心优先在气候寒冷、能源充足、自然灾害较少的地区部署。引导中小型数据中心优先在靠近用户、能源获取便利地区，</w:t>
      </w:r>
      <w:r>
        <w:rPr>
          <w:rFonts w:ascii="仿宋_GB2312" w:eastAsia="仿宋_GB2312" w:hAnsi="仿宋_GB2312" w:cs="仿宋_GB2312" w:hint="eastAsia"/>
          <w:color w:val="000000"/>
          <w:kern w:val="0"/>
          <w:sz w:val="32"/>
          <w:szCs w:val="32"/>
        </w:rPr>
        <w:lastRenderedPageBreak/>
        <w:t>依市场需求灵活部署。鼓励已建数据中心企业利用云计算、绿色节能等先进技术进行整合、改造和升级。引导和支持企业开展</w:t>
      </w:r>
      <w:r>
        <w:rPr>
          <w:rFonts w:ascii="仿宋_GB2312" w:eastAsia="仿宋_GB2312" w:hAnsi="仿宋_GB2312" w:cs="仿宋_GB2312" w:hint="eastAsia"/>
          <w:color w:val="000000"/>
          <w:kern w:val="0"/>
          <w:sz w:val="32"/>
          <w:szCs w:val="32"/>
        </w:rPr>
        <w:t>CDN</w:t>
      </w:r>
      <w:r>
        <w:rPr>
          <w:rFonts w:ascii="仿宋_GB2312" w:eastAsia="仿宋_GB2312" w:hAnsi="仿宋_GB2312" w:cs="仿宋_GB2312" w:hint="eastAsia"/>
          <w:color w:val="000000"/>
          <w:kern w:val="0"/>
          <w:sz w:val="32"/>
          <w:szCs w:val="32"/>
        </w:rPr>
        <w:t>建设和运营，扩展网络容量、覆盖范围和服务能力，逐步建成技术先进、安全可靠的</w:t>
      </w:r>
      <w:r>
        <w:rPr>
          <w:rFonts w:ascii="仿宋_GB2312" w:eastAsia="仿宋_GB2312" w:hAnsi="仿宋_GB2312" w:cs="仿宋_GB2312" w:hint="eastAsia"/>
          <w:color w:val="000000"/>
          <w:kern w:val="0"/>
          <w:sz w:val="32"/>
          <w:szCs w:val="32"/>
        </w:rPr>
        <w:t>CDN</w:t>
      </w:r>
      <w:r>
        <w:rPr>
          <w:rFonts w:ascii="仿宋_GB2312" w:eastAsia="仿宋_GB2312" w:hAnsi="仿宋_GB2312" w:cs="仿宋_GB2312" w:hint="eastAsia"/>
          <w:color w:val="000000"/>
          <w:kern w:val="0"/>
          <w:sz w:val="32"/>
          <w:szCs w:val="32"/>
        </w:rPr>
        <w:t>网络。统筹推进云计算和大数据平台发展，支持政务、行业信息系统向云平台迁移，鼓励骨干企业开放自有云平台资源，引导平台间互联互通。充分利用现有信息通信基础设施，增强窄</w:t>
      </w:r>
      <w:r>
        <w:rPr>
          <w:rFonts w:ascii="仿宋_GB2312" w:eastAsia="仿宋_GB2312" w:hAnsi="仿宋_GB2312" w:cs="仿宋_GB2312" w:hint="eastAsia"/>
          <w:color w:val="000000"/>
          <w:kern w:val="0"/>
          <w:sz w:val="32"/>
          <w:szCs w:val="32"/>
        </w:rPr>
        <w:t>带物联网（</w:t>
      </w:r>
      <w:r>
        <w:rPr>
          <w:rFonts w:ascii="仿宋_GB2312" w:eastAsia="仿宋_GB2312" w:hAnsi="仿宋_GB2312" w:cs="仿宋_GB2312" w:hint="eastAsia"/>
          <w:color w:val="000000"/>
          <w:kern w:val="0"/>
          <w:sz w:val="32"/>
          <w:szCs w:val="32"/>
        </w:rPr>
        <w:t>NB-</w:t>
      </w:r>
      <w:proofErr w:type="spellStart"/>
      <w:r>
        <w:rPr>
          <w:rFonts w:ascii="仿宋_GB2312" w:eastAsia="仿宋_GB2312" w:hAnsi="仿宋_GB2312" w:cs="仿宋_GB2312" w:hint="eastAsia"/>
          <w:color w:val="000000"/>
          <w:kern w:val="0"/>
          <w:sz w:val="32"/>
          <w:szCs w:val="32"/>
        </w:rPr>
        <w:t>IoT</w:t>
      </w:r>
      <w:proofErr w:type="spellEnd"/>
      <w:r>
        <w:rPr>
          <w:rFonts w:ascii="仿宋_GB2312" w:eastAsia="仿宋_GB2312" w:hAnsi="仿宋_GB2312" w:cs="仿宋_GB2312" w:hint="eastAsia"/>
          <w:color w:val="000000"/>
          <w:kern w:val="0"/>
          <w:sz w:val="32"/>
          <w:szCs w:val="32"/>
        </w:rPr>
        <w:t>）接入支撑能力。选取能源电力、城管交通、工业制造、现代农业等重点应用领域，在电力传输线路节点、城市多功能信息杆柱、工业车间生产线、培植加工设施等关键部位，结合通信网络设施建设，同步部署视频采集终端、</w:t>
      </w:r>
      <w:r>
        <w:rPr>
          <w:rFonts w:ascii="仿宋_GB2312" w:eastAsia="仿宋_GB2312" w:hAnsi="仿宋_GB2312" w:cs="仿宋_GB2312" w:hint="eastAsia"/>
          <w:color w:val="000000"/>
          <w:kern w:val="0"/>
          <w:sz w:val="32"/>
          <w:szCs w:val="32"/>
        </w:rPr>
        <w:t>RFID</w:t>
      </w:r>
      <w:r>
        <w:rPr>
          <w:rFonts w:ascii="仿宋_GB2312" w:eastAsia="仿宋_GB2312" w:hAnsi="仿宋_GB2312" w:cs="仿宋_GB2312" w:hint="eastAsia"/>
          <w:color w:val="000000"/>
          <w:kern w:val="0"/>
          <w:sz w:val="32"/>
          <w:szCs w:val="32"/>
        </w:rPr>
        <w:t>标签、多类条码、复合传感器节点等多种物联网感知设施。</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2"/>
      </w:tblGrid>
      <w:tr w:rsidR="00DA02B9">
        <w:tc>
          <w:tcPr>
            <w:tcW w:w="8522" w:type="dxa"/>
            <w:tcBorders>
              <w:top w:val="single" w:sz="4" w:space="0" w:color="auto"/>
              <w:left w:val="single" w:sz="4" w:space="0" w:color="auto"/>
              <w:bottom w:val="single" w:sz="4" w:space="0" w:color="auto"/>
              <w:right w:val="single" w:sz="4" w:space="0" w:color="auto"/>
            </w:tcBorders>
          </w:tcPr>
          <w:p w:rsidR="00DA02B9" w:rsidRDefault="003229D3">
            <w:pPr>
              <w:spacing w:line="440" w:lineRule="exact"/>
              <w:jc w:val="center"/>
              <w:rPr>
                <w:rFonts w:ascii="宋体" w:hAnsi="宋体" w:cs="宋体"/>
                <w:b/>
                <w:color w:val="000000"/>
                <w:sz w:val="24"/>
                <w:szCs w:val="24"/>
              </w:rPr>
            </w:pPr>
            <w:r>
              <w:rPr>
                <w:rFonts w:ascii="宋体" w:hAnsi="宋体" w:cs="宋体" w:hint="eastAsia"/>
                <w:b/>
                <w:color w:val="000000"/>
                <w:sz w:val="24"/>
                <w:szCs w:val="24"/>
              </w:rPr>
              <w:t>专栏</w:t>
            </w:r>
            <w:r>
              <w:rPr>
                <w:rFonts w:ascii="宋体" w:hAnsi="宋体" w:cs="宋体" w:hint="eastAsia"/>
                <w:b/>
                <w:color w:val="000000"/>
                <w:sz w:val="24"/>
                <w:szCs w:val="24"/>
              </w:rPr>
              <w:t>4</w:t>
            </w:r>
            <w:r>
              <w:rPr>
                <w:rFonts w:ascii="宋体" w:hAnsi="宋体" w:cs="宋体" w:hint="eastAsia"/>
                <w:b/>
                <w:color w:val="000000"/>
                <w:sz w:val="24"/>
                <w:szCs w:val="24"/>
              </w:rPr>
              <w:t>：窄带物联网工程</w:t>
            </w:r>
          </w:p>
          <w:p w:rsidR="00DA02B9" w:rsidRDefault="003229D3" w:rsidP="00881FE9">
            <w:pPr>
              <w:spacing w:line="440" w:lineRule="exact"/>
              <w:ind w:firstLineChars="175" w:firstLine="422"/>
              <w:rPr>
                <w:rFonts w:ascii="宋体" w:hAnsi="宋体" w:cs="宋体"/>
                <w:b/>
                <w:color w:val="000000"/>
                <w:sz w:val="24"/>
                <w:szCs w:val="24"/>
              </w:rPr>
            </w:pPr>
            <w:r>
              <w:rPr>
                <w:rFonts w:ascii="宋体" w:hAnsi="宋体" w:cs="宋体" w:hint="eastAsia"/>
                <w:b/>
                <w:color w:val="000000"/>
                <w:sz w:val="24"/>
                <w:szCs w:val="24"/>
              </w:rPr>
              <w:t>工程目标：</w:t>
            </w:r>
            <w:r>
              <w:rPr>
                <w:rFonts w:ascii="宋体" w:hAnsi="宋体" w:cs="宋体" w:hint="eastAsia"/>
                <w:bCs/>
                <w:color w:val="000000"/>
                <w:sz w:val="24"/>
                <w:szCs w:val="24"/>
              </w:rPr>
              <w:t>建设</w:t>
            </w:r>
            <w:r>
              <w:rPr>
                <w:rFonts w:ascii="宋体" w:hAnsi="宋体" w:cs="宋体" w:hint="eastAsia"/>
                <w:color w:val="000000"/>
                <w:kern w:val="0"/>
                <w:sz w:val="24"/>
                <w:szCs w:val="24"/>
              </w:rPr>
              <w:t>完善窄带物联网基础设施，实现在城市运行管理和重点行业的规模应用</w:t>
            </w:r>
            <w:r>
              <w:rPr>
                <w:rFonts w:ascii="宋体" w:hAnsi="宋体" w:cs="宋体" w:hint="eastAsia"/>
                <w:color w:val="000000"/>
                <w:sz w:val="24"/>
                <w:szCs w:val="24"/>
              </w:rPr>
              <w:t>。</w:t>
            </w:r>
          </w:p>
          <w:p w:rsidR="00DA02B9" w:rsidRDefault="003229D3" w:rsidP="00881FE9">
            <w:pPr>
              <w:spacing w:line="440" w:lineRule="exact"/>
              <w:ind w:firstLineChars="175" w:firstLine="422"/>
              <w:rPr>
                <w:rFonts w:ascii="仿宋_GB2312" w:eastAsia="仿宋_GB2312" w:hAnsi="仿宋_GB2312" w:cs="仿宋_GB2312"/>
                <w:color w:val="000000"/>
                <w:sz w:val="24"/>
                <w:szCs w:val="24"/>
              </w:rPr>
            </w:pPr>
            <w:r>
              <w:rPr>
                <w:rFonts w:ascii="宋体" w:hAnsi="宋体" w:cs="宋体" w:hint="eastAsia"/>
                <w:b/>
                <w:color w:val="000000"/>
                <w:sz w:val="24"/>
                <w:szCs w:val="24"/>
              </w:rPr>
              <w:t>工程内容：</w:t>
            </w:r>
            <w:r>
              <w:rPr>
                <w:rFonts w:ascii="宋体" w:hAnsi="宋体" w:cs="宋体" w:hint="eastAsia"/>
                <w:color w:val="000000"/>
                <w:kern w:val="0"/>
                <w:sz w:val="24"/>
                <w:szCs w:val="24"/>
              </w:rPr>
              <w:t>一是完善支持窄带物联网的全国性网络，升级改造无线、核心网络及配套网管运维系统，在全国范围内形成有效覆盖。二是实现窄带物联网在智慧城市、重点行业等规模应用，研究设立窄带物联网应用示范工程，对典型应用与创新给予适当支持</w:t>
            </w:r>
            <w:r>
              <w:rPr>
                <w:rFonts w:ascii="宋体" w:hAnsi="宋体" w:cs="宋体" w:hint="eastAsia"/>
                <w:color w:val="000000"/>
                <w:sz w:val="24"/>
                <w:szCs w:val="24"/>
              </w:rPr>
              <w:t>，探索业务模式，</w:t>
            </w:r>
            <w:r>
              <w:rPr>
                <w:rFonts w:ascii="宋体" w:hAnsi="宋体" w:cs="宋体" w:hint="eastAsia"/>
                <w:color w:val="000000"/>
                <w:kern w:val="0"/>
                <w:sz w:val="24"/>
                <w:szCs w:val="24"/>
              </w:rPr>
              <w:t>推动产业链成熟。</w:t>
            </w:r>
          </w:p>
        </w:tc>
      </w:tr>
    </w:tbl>
    <w:p w:rsidR="00DA02B9" w:rsidRDefault="003229D3">
      <w:pPr>
        <w:pStyle w:val="3"/>
        <w:ind w:firstLine="643"/>
      </w:pPr>
      <w:bookmarkStart w:id="63" w:name="_Toc452557646"/>
      <w:bookmarkStart w:id="64" w:name="_Toc25615"/>
      <w:bookmarkStart w:id="65" w:name="_Toc6816"/>
      <w:bookmarkStart w:id="66" w:name="_Toc451533436"/>
      <w:bookmarkStart w:id="67" w:name="_Toc4037"/>
      <w:bookmarkStart w:id="68" w:name="_Toc448845030"/>
      <w:r>
        <w:rPr>
          <w:rFonts w:hint="eastAsia"/>
        </w:rPr>
        <w:t xml:space="preserve">3. </w:t>
      </w:r>
      <w:r>
        <w:t>提升农村及偏远地区信息通信水平</w:t>
      </w:r>
      <w:bookmarkEnd w:id="63"/>
      <w:bookmarkEnd w:id="64"/>
      <w:bookmarkEnd w:id="65"/>
      <w:bookmarkEnd w:id="66"/>
      <w:bookmarkEnd w:id="67"/>
    </w:p>
    <w:p w:rsidR="00DA02B9" w:rsidRDefault="003229D3">
      <w:pPr>
        <w:pStyle w:val="14"/>
        <w:ind w:firstLineChars="196" w:firstLine="627"/>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落实国务院关于完善农村及偏远地区宽带电信普遍服务补偿机制的要求，</w:t>
      </w:r>
      <w:r>
        <w:rPr>
          <w:rFonts w:ascii="仿宋_GB2312" w:eastAsia="仿宋_GB2312" w:hAnsi="仿宋_GB2312" w:cs="仿宋_GB2312" w:hint="eastAsia"/>
          <w:color w:val="000000"/>
          <w:sz w:val="32"/>
          <w:szCs w:val="32"/>
        </w:rPr>
        <w:t>注重与精准扶贫工作紧密衔接，加大政策扶持和资源倾斜力度，</w:t>
      </w:r>
      <w:r>
        <w:rPr>
          <w:rFonts w:ascii="仿宋_GB2312" w:eastAsia="仿宋_GB2312" w:hAnsi="仿宋_GB2312" w:cs="仿宋_GB2312" w:hint="eastAsia"/>
          <w:color w:val="000000"/>
          <w:kern w:val="0"/>
          <w:sz w:val="32"/>
          <w:szCs w:val="32"/>
        </w:rPr>
        <w:t>加快农村互联网基础设施建设步伐，扩大光纤网、宽带网在农村的有效覆盖，农村家庭宽带用户</w:t>
      </w:r>
      <w:r>
        <w:rPr>
          <w:rFonts w:ascii="仿宋_GB2312" w:eastAsia="仿宋_GB2312" w:hAnsi="仿宋_GB2312" w:cs="仿宋_GB2312" w:hint="eastAsia"/>
          <w:color w:val="000000"/>
          <w:kern w:val="0"/>
          <w:sz w:val="32"/>
          <w:szCs w:val="32"/>
        </w:rPr>
        <w:lastRenderedPageBreak/>
        <w:t>基本实现</w:t>
      </w:r>
      <w:r>
        <w:rPr>
          <w:rFonts w:ascii="仿宋_GB2312" w:eastAsia="仿宋_GB2312" w:hAnsi="仿宋_GB2312" w:cs="仿宋_GB2312" w:hint="eastAsia"/>
          <w:color w:val="000000"/>
          <w:kern w:val="0"/>
          <w:sz w:val="32"/>
          <w:szCs w:val="32"/>
        </w:rPr>
        <w:t>12</w:t>
      </w:r>
      <w:r>
        <w:rPr>
          <w:rFonts w:ascii="仿宋_GB2312" w:eastAsia="仿宋_GB2312" w:hAnsi="仿宋_GB2312" w:cs="仿宋_GB2312" w:hint="eastAsia"/>
          <w:color w:val="000000"/>
          <w:kern w:val="0"/>
          <w:sz w:val="32"/>
          <w:szCs w:val="32"/>
        </w:rPr>
        <w:t>兆比特每</w:t>
      </w:r>
      <w:r>
        <w:rPr>
          <w:rFonts w:ascii="仿宋_GB2312" w:eastAsia="仿宋_GB2312" w:hAnsi="仿宋_GB2312" w:cs="仿宋_GB2312" w:hint="eastAsia"/>
          <w:color w:val="000000"/>
          <w:kern w:val="0"/>
          <w:sz w:val="32"/>
          <w:szCs w:val="32"/>
        </w:rPr>
        <w:t>秒以上接入服务能力。提升农村及偏远地区信息通信网络的易用性，重点解决中文域名、技术咨询、电商服务等问题。鼓励各类资本参与农村电商发展，支持第三方平台创新和拓展农村电子商务业务。持续推进农村电子商务等互联网应用的普及，加快手机电子商务平台、手机在线支付等基于移动互联网创新应用的发展，重点向农村和偏远地区延伸信息通信服务。发挥互联网在助推脱贫攻坚中的作用，推进精准扶贫、精准脱贫，创新信息扶贫工作机制和模式，让更多困难群众用上互联网。瞄准农业现代化主攻方向，提高农业生产智能化、经营网络化水平，让农产品通过互联网走</w:t>
      </w:r>
      <w:r>
        <w:rPr>
          <w:rFonts w:ascii="仿宋_GB2312" w:eastAsia="仿宋_GB2312" w:hAnsi="仿宋_GB2312" w:cs="仿宋_GB2312" w:hint="eastAsia"/>
          <w:color w:val="000000"/>
          <w:kern w:val="0"/>
          <w:sz w:val="32"/>
          <w:szCs w:val="32"/>
        </w:rPr>
        <w:t>出乡村，帮助广大农民增加收入。扩大信息进村入户覆盖面，力争到</w:t>
      </w:r>
      <w:r>
        <w:rPr>
          <w:rFonts w:ascii="仿宋_GB2312" w:eastAsia="仿宋_GB2312" w:hAnsi="仿宋_GB2312" w:cs="仿宋_GB2312" w:hint="eastAsia"/>
          <w:color w:val="000000"/>
          <w:kern w:val="0"/>
          <w:sz w:val="32"/>
          <w:szCs w:val="32"/>
        </w:rPr>
        <w:t>2020</w:t>
      </w:r>
      <w:r>
        <w:rPr>
          <w:rFonts w:ascii="仿宋_GB2312" w:eastAsia="仿宋_GB2312" w:hAnsi="仿宋_GB2312" w:cs="仿宋_GB2312" w:hint="eastAsia"/>
          <w:color w:val="000000"/>
          <w:kern w:val="0"/>
          <w:sz w:val="32"/>
          <w:szCs w:val="32"/>
        </w:rPr>
        <w:t>年实现宽带网络覆盖</w:t>
      </w:r>
      <w:r>
        <w:rPr>
          <w:rFonts w:ascii="仿宋_GB2312" w:eastAsia="仿宋_GB2312" w:hAnsi="仿宋_GB2312" w:cs="仿宋_GB2312" w:hint="eastAsia"/>
          <w:color w:val="000000"/>
          <w:kern w:val="0"/>
          <w:sz w:val="32"/>
          <w:szCs w:val="32"/>
        </w:rPr>
        <w:t>90%</w:t>
      </w:r>
      <w:r>
        <w:rPr>
          <w:rFonts w:ascii="仿宋_GB2312" w:eastAsia="仿宋_GB2312" w:hAnsi="仿宋_GB2312" w:cs="仿宋_GB2312" w:hint="eastAsia"/>
          <w:color w:val="000000"/>
          <w:kern w:val="0"/>
          <w:sz w:val="32"/>
          <w:szCs w:val="32"/>
        </w:rPr>
        <w:t>以上的建档立卡贫困村，助力打赢脱贫攻坚战。</w:t>
      </w:r>
    </w:p>
    <w:tbl>
      <w:tblPr>
        <w:tblW w:w="8194" w:type="dxa"/>
        <w:jc w:val="center"/>
        <w:tblBorders>
          <w:top w:val="single" w:sz="6" w:space="0" w:color="000000"/>
          <w:left w:val="single" w:sz="6" w:space="0" w:color="000000"/>
          <w:bottom w:val="single" w:sz="6" w:space="0" w:color="000000"/>
          <w:right w:val="single" w:sz="6" w:space="0" w:color="000000"/>
        </w:tblBorders>
        <w:shd w:val="clear" w:color="auto" w:fill="FFFFFF"/>
        <w:tblLayout w:type="fixed"/>
        <w:tblLook w:val="04A0"/>
      </w:tblPr>
      <w:tblGrid>
        <w:gridCol w:w="8194"/>
      </w:tblGrid>
      <w:tr w:rsidR="00DA02B9">
        <w:trPr>
          <w:jc w:val="center"/>
        </w:trPr>
        <w:tc>
          <w:tcPr>
            <w:tcW w:w="8194" w:type="dxa"/>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vAlign w:val="center"/>
          </w:tcPr>
          <w:p w:rsidR="00DA02B9" w:rsidRDefault="003229D3">
            <w:pPr>
              <w:widowControl/>
              <w:shd w:val="clear" w:color="auto" w:fill="FFFFFF"/>
              <w:spacing w:line="440" w:lineRule="exact"/>
              <w:jc w:val="center"/>
              <w:rPr>
                <w:rFonts w:ascii="宋体" w:hAnsi="宋体" w:cs="宋体"/>
                <w:b/>
                <w:color w:val="000000"/>
                <w:kern w:val="0"/>
                <w:sz w:val="24"/>
                <w:szCs w:val="24"/>
              </w:rPr>
            </w:pPr>
            <w:r>
              <w:rPr>
                <w:rFonts w:ascii="宋体" w:hAnsi="宋体" w:cs="宋体" w:hint="eastAsia"/>
                <w:b/>
                <w:color w:val="000000"/>
                <w:sz w:val="24"/>
                <w:szCs w:val="24"/>
              </w:rPr>
              <w:t>专栏</w:t>
            </w:r>
            <w:r>
              <w:rPr>
                <w:rFonts w:ascii="宋体" w:hAnsi="宋体" w:cs="宋体" w:hint="eastAsia"/>
                <w:b/>
                <w:color w:val="000000"/>
                <w:sz w:val="24"/>
                <w:szCs w:val="24"/>
              </w:rPr>
              <w:t>5</w:t>
            </w:r>
            <w:r>
              <w:rPr>
                <w:rFonts w:ascii="宋体" w:hAnsi="宋体" w:cs="宋体" w:hint="eastAsia"/>
                <w:b/>
                <w:color w:val="000000"/>
                <w:sz w:val="24"/>
                <w:szCs w:val="24"/>
              </w:rPr>
              <w:t>：电信普遍服务试点工程</w:t>
            </w:r>
          </w:p>
          <w:p w:rsidR="00DA02B9" w:rsidRDefault="003229D3" w:rsidP="00881FE9">
            <w:pPr>
              <w:widowControl/>
              <w:shd w:val="clear" w:color="auto" w:fill="FFFFFF"/>
              <w:spacing w:line="440" w:lineRule="exact"/>
              <w:ind w:firstLineChars="175" w:firstLine="422"/>
              <w:rPr>
                <w:rFonts w:ascii="宋体" w:hAnsi="宋体" w:cs="宋体"/>
                <w:color w:val="000000"/>
                <w:kern w:val="0"/>
                <w:sz w:val="24"/>
                <w:szCs w:val="24"/>
              </w:rPr>
            </w:pPr>
            <w:r>
              <w:rPr>
                <w:rFonts w:ascii="宋体" w:hAnsi="宋体" w:cs="宋体" w:hint="eastAsia"/>
                <w:b/>
                <w:color w:val="000000"/>
                <w:kern w:val="0"/>
                <w:sz w:val="24"/>
                <w:szCs w:val="24"/>
              </w:rPr>
              <w:t>工程目标</w:t>
            </w:r>
            <w:r>
              <w:rPr>
                <w:rFonts w:ascii="宋体" w:hAnsi="宋体" w:cs="宋体" w:hint="eastAsia"/>
                <w:color w:val="000000"/>
                <w:kern w:val="0"/>
                <w:sz w:val="24"/>
                <w:szCs w:val="24"/>
              </w:rPr>
              <w:t>：加强农村地区宽带网络建设，实现</w:t>
            </w:r>
            <w:r>
              <w:rPr>
                <w:rFonts w:ascii="宋体" w:hAnsi="宋体" w:cs="宋体" w:hint="eastAsia"/>
                <w:color w:val="000000"/>
                <w:kern w:val="0"/>
                <w:sz w:val="24"/>
                <w:szCs w:val="24"/>
              </w:rPr>
              <w:t>98%</w:t>
            </w:r>
            <w:r>
              <w:rPr>
                <w:rFonts w:ascii="宋体" w:hAnsi="宋体" w:cs="宋体" w:hint="eastAsia"/>
                <w:color w:val="000000"/>
                <w:kern w:val="0"/>
                <w:sz w:val="24"/>
                <w:szCs w:val="24"/>
              </w:rPr>
              <w:t>行政村通光纤，农村家庭宽带用户基本实现</w:t>
            </w:r>
            <w:r>
              <w:rPr>
                <w:rFonts w:ascii="宋体" w:hAnsi="宋体" w:cs="宋体" w:hint="eastAsia"/>
                <w:color w:val="000000"/>
                <w:kern w:val="0"/>
                <w:sz w:val="24"/>
                <w:szCs w:val="24"/>
              </w:rPr>
              <w:t>12</w:t>
            </w:r>
            <w:r>
              <w:rPr>
                <w:rFonts w:ascii="宋体" w:hAnsi="宋体" w:cs="宋体" w:hint="eastAsia"/>
                <w:color w:val="000000"/>
                <w:kern w:val="0"/>
                <w:sz w:val="24"/>
                <w:szCs w:val="24"/>
              </w:rPr>
              <w:t>兆比特每秒以上接入服务能力。</w:t>
            </w:r>
          </w:p>
          <w:p w:rsidR="00DA02B9" w:rsidRDefault="003229D3" w:rsidP="00881FE9">
            <w:pPr>
              <w:widowControl/>
              <w:shd w:val="clear" w:color="auto" w:fill="FFFFFF"/>
              <w:spacing w:line="440" w:lineRule="exact"/>
              <w:ind w:firstLineChars="175" w:firstLine="422"/>
              <w:rPr>
                <w:rFonts w:ascii="仿宋_GB2312" w:eastAsia="仿宋_GB2312" w:hAnsi="仿宋_GB2312" w:cs="仿宋_GB2312"/>
                <w:color w:val="000000"/>
                <w:kern w:val="0"/>
                <w:sz w:val="24"/>
                <w:szCs w:val="24"/>
              </w:rPr>
            </w:pPr>
            <w:r>
              <w:rPr>
                <w:rFonts w:ascii="宋体" w:hAnsi="宋体" w:cs="宋体" w:hint="eastAsia"/>
                <w:b/>
                <w:color w:val="000000"/>
                <w:kern w:val="0"/>
                <w:sz w:val="24"/>
                <w:szCs w:val="24"/>
              </w:rPr>
              <w:t>工程内容</w:t>
            </w:r>
            <w:r>
              <w:rPr>
                <w:rFonts w:ascii="宋体" w:hAnsi="宋体" w:cs="宋体" w:hint="eastAsia"/>
                <w:color w:val="000000"/>
                <w:kern w:val="0"/>
                <w:sz w:val="24"/>
                <w:szCs w:val="24"/>
              </w:rPr>
              <w:t>：充分发挥中央财政资金引导作用，带动地方政府加强统筹和政策支持，引导企业承担市场主体责任，对未通宽带行政村进行光纤覆盖，对已通宽带但接入能力低于</w:t>
            </w:r>
            <w:r>
              <w:rPr>
                <w:rFonts w:ascii="宋体" w:hAnsi="宋体" w:cs="宋体" w:hint="eastAsia"/>
                <w:color w:val="000000"/>
                <w:kern w:val="0"/>
                <w:sz w:val="24"/>
                <w:szCs w:val="24"/>
              </w:rPr>
              <w:t>12</w:t>
            </w:r>
            <w:r>
              <w:rPr>
                <w:rFonts w:ascii="宋体" w:hAnsi="宋体" w:cs="宋体" w:hint="eastAsia"/>
                <w:color w:val="000000"/>
                <w:kern w:val="0"/>
                <w:sz w:val="24"/>
                <w:szCs w:val="24"/>
              </w:rPr>
              <w:t>兆比特每秒的行政村进行光纤升级改造。</w:t>
            </w:r>
          </w:p>
        </w:tc>
      </w:tr>
    </w:tbl>
    <w:p w:rsidR="00DA02B9" w:rsidRDefault="003229D3">
      <w:pPr>
        <w:pStyle w:val="3"/>
        <w:ind w:firstLine="643"/>
      </w:pPr>
      <w:bookmarkStart w:id="69" w:name="_Toc451533437"/>
      <w:bookmarkStart w:id="70" w:name="_Toc452557647"/>
      <w:bookmarkStart w:id="71" w:name="_Toc8529"/>
      <w:bookmarkStart w:id="72" w:name="_Toc3666"/>
      <w:bookmarkStart w:id="73" w:name="_Toc10326"/>
      <w:r>
        <w:rPr>
          <w:rFonts w:hint="eastAsia"/>
        </w:rPr>
        <w:t xml:space="preserve">4. </w:t>
      </w:r>
      <w:r>
        <w:rPr>
          <w:rFonts w:hint="eastAsia"/>
        </w:rPr>
        <w:t>推动绿色低碳发展</w:t>
      </w:r>
      <w:bookmarkEnd w:id="69"/>
      <w:bookmarkEnd w:id="70"/>
      <w:bookmarkEnd w:id="71"/>
      <w:bookmarkEnd w:id="72"/>
      <w:bookmarkEnd w:id="73"/>
    </w:p>
    <w:p w:rsidR="00DA02B9" w:rsidRDefault="003229D3">
      <w:pPr>
        <w:ind w:firstLineChars="200" w:firstLine="640"/>
        <w:rPr>
          <w:rFonts w:ascii="仿宋_GB2312" w:eastAsia="仿宋_GB2312" w:hAnsi="仿宋_GB2312" w:cs="仿宋_GB2312"/>
          <w:color w:val="000000"/>
        </w:rPr>
      </w:pPr>
      <w:r>
        <w:rPr>
          <w:rFonts w:ascii="仿宋_GB2312" w:eastAsia="仿宋_GB2312" w:hAnsi="仿宋_GB2312" w:cs="仿宋_GB2312" w:hint="eastAsia"/>
          <w:color w:val="000000"/>
          <w:sz w:val="32"/>
          <w:szCs w:val="32"/>
        </w:rPr>
        <w:t>以信息通信技术应用带动全社会节能。通过促进“互联网</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”、共享经济发展推动传统行业转型升级，推动专业化能源管控系统在重点行业的应用，优化资源配置，提高资源利用率，降低社会总体能耗。积极推广安全可控的新能源和节</w:t>
      </w:r>
      <w:r>
        <w:rPr>
          <w:rFonts w:ascii="仿宋_GB2312" w:eastAsia="仿宋_GB2312" w:hAnsi="仿宋_GB2312" w:cs="仿宋_GB2312" w:hint="eastAsia"/>
          <w:color w:val="000000"/>
          <w:sz w:val="32"/>
          <w:szCs w:val="32"/>
        </w:rPr>
        <w:lastRenderedPageBreak/>
        <w:t>能新技术在行业的应用。把低碳循环、绿色环保的理念贯穿于机房建设，设备购置、安装，网络运维等各环节。实现电路交换机全部退网，加快高耗能基站等网络设备和数据中心的绿色改造。探索建立移动基站基于能耗</w:t>
      </w:r>
      <w:r>
        <w:rPr>
          <w:rFonts w:ascii="仿宋_GB2312" w:eastAsia="仿宋_GB2312" w:hAnsi="仿宋_GB2312" w:cs="仿宋_GB2312" w:hint="eastAsia"/>
          <w:color w:val="000000"/>
          <w:sz w:val="32"/>
          <w:szCs w:val="32"/>
        </w:rPr>
        <w:t>PUE</w:t>
      </w:r>
      <w:r>
        <w:rPr>
          <w:rFonts w:ascii="仿宋_GB2312" w:eastAsia="仿宋_GB2312" w:hAnsi="仿宋_GB2312" w:cs="仿宋_GB2312" w:hint="eastAsia"/>
          <w:color w:val="000000"/>
          <w:sz w:val="32"/>
          <w:szCs w:val="32"/>
        </w:rPr>
        <w:t>的标杆，推动移动基站整体能耗的管控，建立节能环保评测机制，推动建设节能环保评测技术和平台。</w:t>
      </w:r>
    </w:p>
    <w:p w:rsidR="00DA02B9" w:rsidRDefault="003229D3">
      <w:pPr>
        <w:pStyle w:val="3"/>
        <w:ind w:firstLine="643"/>
      </w:pPr>
      <w:bookmarkStart w:id="74" w:name="_Toc9350"/>
      <w:bookmarkStart w:id="75" w:name="_Toc451533438"/>
      <w:bookmarkStart w:id="76" w:name="_Toc25088"/>
      <w:bookmarkStart w:id="77" w:name="_Toc26406"/>
      <w:bookmarkStart w:id="78" w:name="_Toc452557648"/>
      <w:r>
        <w:rPr>
          <w:rFonts w:hint="eastAsia"/>
        </w:rPr>
        <w:t xml:space="preserve">5. </w:t>
      </w:r>
      <w:r>
        <w:rPr>
          <w:rFonts w:hint="eastAsia"/>
        </w:rPr>
        <w:t>加大信息通</w:t>
      </w:r>
      <w:r>
        <w:rPr>
          <w:rFonts w:hint="eastAsia"/>
        </w:rPr>
        <w:t>信技术开发应用力度</w:t>
      </w:r>
      <w:bookmarkEnd w:id="74"/>
      <w:bookmarkEnd w:id="75"/>
      <w:bookmarkEnd w:id="76"/>
      <w:bookmarkEnd w:id="77"/>
      <w:bookmarkEnd w:id="78"/>
    </w:p>
    <w:p w:rsidR="00DA02B9" w:rsidRDefault="003229D3">
      <w:pPr>
        <w:widowControl/>
        <w:ind w:firstLineChars="177" w:firstLine="566"/>
        <w:jc w:val="left"/>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推动核心技术的超前部署和集中攻关，实现从跟跑并跑到并跑领跑的转变。加强移动互联网、物联网、云计算、大数据、移动智能终端等技术研发和综合应用，提升安全可控水平，推进核心技术成果转化和产业化。支持</w:t>
      </w:r>
      <w:r>
        <w:rPr>
          <w:rFonts w:ascii="仿宋_GB2312" w:eastAsia="仿宋_GB2312" w:hAnsi="仿宋_GB2312" w:cs="仿宋_GB2312" w:hint="eastAsia"/>
          <w:color w:val="000000"/>
          <w:sz w:val="32"/>
          <w:szCs w:val="32"/>
          <w:shd w:val="clear" w:color="auto" w:fill="FFFFFF"/>
        </w:rPr>
        <w:t>5G</w:t>
      </w:r>
      <w:r>
        <w:rPr>
          <w:rFonts w:ascii="仿宋_GB2312" w:eastAsia="仿宋_GB2312" w:hAnsi="仿宋_GB2312" w:cs="仿宋_GB2312" w:hint="eastAsia"/>
          <w:color w:val="000000"/>
          <w:sz w:val="32"/>
          <w:szCs w:val="32"/>
          <w:shd w:val="clear" w:color="auto" w:fill="FFFFFF"/>
        </w:rPr>
        <w:t>标准研究和技术试验，推进</w:t>
      </w:r>
      <w:r>
        <w:rPr>
          <w:rFonts w:ascii="仿宋_GB2312" w:eastAsia="仿宋_GB2312" w:hAnsi="仿宋_GB2312" w:cs="仿宋_GB2312" w:hint="eastAsia"/>
          <w:color w:val="000000"/>
          <w:sz w:val="32"/>
          <w:szCs w:val="32"/>
          <w:shd w:val="clear" w:color="auto" w:fill="FFFFFF"/>
        </w:rPr>
        <w:t>5G</w:t>
      </w:r>
      <w:r>
        <w:rPr>
          <w:rFonts w:ascii="仿宋_GB2312" w:eastAsia="仿宋_GB2312" w:hAnsi="仿宋_GB2312" w:cs="仿宋_GB2312" w:hint="eastAsia"/>
          <w:color w:val="000000"/>
          <w:sz w:val="32"/>
          <w:szCs w:val="32"/>
          <w:shd w:val="clear" w:color="auto" w:fill="FFFFFF"/>
        </w:rPr>
        <w:t>频谱规划，启动</w:t>
      </w:r>
      <w:r>
        <w:rPr>
          <w:rFonts w:ascii="仿宋_GB2312" w:eastAsia="仿宋_GB2312" w:hAnsi="仿宋_GB2312" w:cs="仿宋_GB2312" w:hint="eastAsia"/>
          <w:color w:val="000000"/>
          <w:sz w:val="32"/>
          <w:szCs w:val="32"/>
          <w:shd w:val="clear" w:color="auto" w:fill="FFFFFF"/>
        </w:rPr>
        <w:t>5G</w:t>
      </w:r>
      <w:r>
        <w:rPr>
          <w:rFonts w:ascii="仿宋_GB2312" w:eastAsia="仿宋_GB2312" w:hAnsi="仿宋_GB2312" w:cs="仿宋_GB2312" w:hint="eastAsia"/>
          <w:color w:val="000000"/>
          <w:sz w:val="32"/>
          <w:szCs w:val="32"/>
          <w:shd w:val="clear" w:color="auto" w:fill="FFFFFF"/>
        </w:rPr>
        <w:t>商用。支持</w:t>
      </w:r>
      <w:r>
        <w:rPr>
          <w:rFonts w:ascii="仿宋_GB2312" w:eastAsia="仿宋_GB2312" w:hAnsi="仿宋_GB2312" w:cs="仿宋_GB2312" w:hint="eastAsia"/>
          <w:color w:val="000000"/>
          <w:sz w:val="32"/>
          <w:szCs w:val="32"/>
        </w:rPr>
        <w:t>面向车联网的无线接入</w:t>
      </w:r>
      <w:r>
        <w:rPr>
          <w:rFonts w:ascii="仿宋_GB2312" w:eastAsia="仿宋_GB2312" w:hAnsi="仿宋_GB2312" w:cs="仿宋_GB2312" w:hint="eastAsia"/>
          <w:color w:val="000000"/>
          <w:sz w:val="32"/>
          <w:szCs w:val="32"/>
          <w:shd w:val="clear" w:color="auto" w:fill="FFFFFF"/>
        </w:rPr>
        <w:t>技术标准和试验验证环境建设，拓展在智能辅助和自动驾驶等领域的应用范围。强化面向服务的物联网传输体系架构、通信技术研究，加快窄带物联网技术应用。推动</w:t>
      </w:r>
      <w:r>
        <w:rPr>
          <w:rFonts w:ascii="仿宋_GB2312" w:eastAsia="仿宋_GB2312" w:hAnsi="仿宋_GB2312" w:cs="仿宋_GB2312" w:hint="eastAsia"/>
          <w:color w:val="000000"/>
          <w:sz w:val="32"/>
          <w:szCs w:val="32"/>
          <w:shd w:val="clear" w:color="auto" w:fill="FFFFFF"/>
        </w:rPr>
        <w:t>SDN</w:t>
      </w:r>
      <w:r>
        <w:rPr>
          <w:rFonts w:ascii="仿宋_GB2312" w:eastAsia="仿宋_GB2312" w:hAnsi="仿宋_GB2312" w:cs="仿宋_GB2312" w:hint="eastAsia"/>
          <w:color w:val="000000"/>
          <w:sz w:val="32"/>
          <w:szCs w:val="32"/>
          <w:shd w:val="clear" w:color="auto" w:fill="FFFFFF"/>
        </w:rPr>
        <w:t>、</w:t>
      </w:r>
      <w:r>
        <w:rPr>
          <w:rFonts w:ascii="仿宋_GB2312" w:eastAsia="仿宋_GB2312" w:hAnsi="仿宋_GB2312" w:cs="仿宋_GB2312" w:hint="eastAsia"/>
          <w:color w:val="000000"/>
          <w:sz w:val="32"/>
          <w:szCs w:val="32"/>
          <w:shd w:val="clear" w:color="auto" w:fill="FFFFFF"/>
        </w:rPr>
        <w:t>NFV</w:t>
      </w:r>
      <w:r>
        <w:rPr>
          <w:rFonts w:ascii="仿宋_GB2312" w:eastAsia="仿宋_GB2312" w:hAnsi="仿宋_GB2312" w:cs="仿宋_GB2312" w:hint="eastAsia"/>
          <w:color w:val="000000"/>
          <w:sz w:val="32"/>
          <w:szCs w:val="32"/>
          <w:shd w:val="clear" w:color="auto" w:fill="FFFFFF"/>
        </w:rPr>
        <w:t>技术商用化进程，基础网络中半数以上网络功能通过</w:t>
      </w:r>
      <w:r>
        <w:rPr>
          <w:rFonts w:ascii="仿宋_GB2312" w:eastAsia="仿宋_GB2312" w:hAnsi="仿宋_GB2312" w:cs="仿宋_GB2312" w:hint="eastAsia"/>
          <w:color w:val="000000"/>
          <w:sz w:val="32"/>
          <w:szCs w:val="32"/>
          <w:shd w:val="clear" w:color="auto" w:fill="FFFFFF"/>
        </w:rPr>
        <w:t>SDN</w:t>
      </w:r>
      <w:r>
        <w:rPr>
          <w:rFonts w:ascii="仿宋_GB2312" w:eastAsia="仿宋_GB2312" w:hAnsi="仿宋_GB2312" w:cs="仿宋_GB2312" w:hint="eastAsia"/>
          <w:color w:val="000000"/>
          <w:sz w:val="32"/>
          <w:szCs w:val="32"/>
          <w:shd w:val="clear" w:color="auto" w:fill="FFFFFF"/>
        </w:rPr>
        <w:t>、</w:t>
      </w:r>
      <w:r>
        <w:rPr>
          <w:rFonts w:ascii="仿宋_GB2312" w:eastAsia="仿宋_GB2312" w:hAnsi="仿宋_GB2312" w:cs="仿宋_GB2312" w:hint="eastAsia"/>
          <w:color w:val="000000"/>
          <w:sz w:val="32"/>
          <w:szCs w:val="32"/>
          <w:shd w:val="clear" w:color="auto" w:fill="FFFFFF"/>
        </w:rPr>
        <w:t>NFV</w:t>
      </w:r>
      <w:r>
        <w:rPr>
          <w:rFonts w:ascii="仿宋_GB2312" w:eastAsia="仿宋_GB2312" w:hAnsi="仿宋_GB2312" w:cs="仿宋_GB2312" w:hint="eastAsia"/>
          <w:color w:val="000000"/>
          <w:sz w:val="32"/>
          <w:szCs w:val="32"/>
          <w:shd w:val="clear" w:color="auto" w:fill="FFFFFF"/>
        </w:rPr>
        <w:t>实现。加强超低损耗大有效面积光纤、超高速超大容量超长距离光传输等关键技术研发与应用。支持</w:t>
      </w:r>
      <w:r>
        <w:rPr>
          <w:rFonts w:ascii="仿宋_GB2312" w:eastAsia="仿宋_GB2312" w:hAnsi="仿宋_GB2312" w:cs="仿宋_GB2312" w:hint="eastAsia"/>
          <w:color w:val="000000"/>
          <w:sz w:val="32"/>
          <w:szCs w:val="32"/>
          <w:shd w:val="clear" w:color="auto" w:fill="FFFFFF"/>
        </w:rPr>
        <w:t>IPv6</w:t>
      </w:r>
      <w:r>
        <w:rPr>
          <w:rFonts w:ascii="仿宋_GB2312" w:eastAsia="仿宋_GB2312" w:hAnsi="仿宋_GB2312" w:cs="仿宋_GB2312" w:hint="eastAsia"/>
          <w:color w:val="000000"/>
          <w:sz w:val="32"/>
          <w:szCs w:val="32"/>
          <w:shd w:val="clear" w:color="auto" w:fill="FFFFFF"/>
        </w:rPr>
        <w:t>应用服务建设，鼓励移动互联网应用基于</w:t>
      </w:r>
      <w:r>
        <w:rPr>
          <w:rFonts w:ascii="仿宋_GB2312" w:eastAsia="仿宋_GB2312" w:hAnsi="仿宋_GB2312" w:cs="仿宋_GB2312" w:hint="eastAsia"/>
          <w:color w:val="000000"/>
          <w:sz w:val="32"/>
          <w:szCs w:val="32"/>
          <w:shd w:val="clear" w:color="auto" w:fill="FFFFFF"/>
        </w:rPr>
        <w:t>IPv6</w:t>
      </w:r>
      <w:r>
        <w:rPr>
          <w:rFonts w:ascii="仿宋_GB2312" w:eastAsia="仿宋_GB2312" w:hAnsi="仿宋_GB2312" w:cs="仿宋_GB2312" w:hint="eastAsia"/>
          <w:color w:val="000000"/>
          <w:sz w:val="32"/>
          <w:szCs w:val="32"/>
          <w:shd w:val="clear" w:color="auto" w:fill="FFFFFF"/>
        </w:rPr>
        <w:t>进行开发和服务，实现国内主要网站均支持</w:t>
      </w:r>
      <w:r>
        <w:rPr>
          <w:rFonts w:ascii="仿宋_GB2312" w:eastAsia="仿宋_GB2312" w:hAnsi="仿宋_GB2312" w:cs="仿宋_GB2312" w:hint="eastAsia"/>
          <w:color w:val="000000"/>
          <w:sz w:val="32"/>
          <w:szCs w:val="32"/>
          <w:shd w:val="clear" w:color="auto" w:fill="FFFFFF"/>
        </w:rPr>
        <w:t>IPv6</w:t>
      </w:r>
      <w:r>
        <w:rPr>
          <w:rFonts w:ascii="仿宋_GB2312" w:eastAsia="仿宋_GB2312" w:hAnsi="仿宋_GB2312" w:cs="仿宋_GB2312" w:hint="eastAsia"/>
          <w:color w:val="000000"/>
          <w:sz w:val="32"/>
          <w:szCs w:val="32"/>
          <w:shd w:val="clear" w:color="auto" w:fill="FFFFFF"/>
        </w:rPr>
        <w:t>访问，手机应用排名前</w:t>
      </w:r>
      <w:r>
        <w:rPr>
          <w:rFonts w:ascii="仿宋_GB2312" w:eastAsia="仿宋_GB2312" w:hAnsi="仿宋_GB2312" w:cs="仿宋_GB2312" w:hint="eastAsia"/>
          <w:color w:val="000000"/>
          <w:sz w:val="32"/>
          <w:szCs w:val="32"/>
          <w:shd w:val="clear" w:color="auto" w:fill="FFFFFF"/>
        </w:rPr>
        <w:t>100</w:t>
      </w:r>
      <w:r>
        <w:rPr>
          <w:rFonts w:ascii="仿宋_GB2312" w:eastAsia="仿宋_GB2312" w:hAnsi="仿宋_GB2312" w:cs="仿宋_GB2312" w:hint="eastAsia"/>
          <w:color w:val="000000"/>
          <w:sz w:val="32"/>
          <w:szCs w:val="32"/>
          <w:shd w:val="clear" w:color="auto" w:fill="FFFFFF"/>
        </w:rPr>
        <w:t>的中文</w:t>
      </w:r>
      <w:r>
        <w:rPr>
          <w:rFonts w:ascii="仿宋_GB2312" w:eastAsia="仿宋_GB2312" w:hAnsi="仿宋_GB2312" w:cs="仿宋_GB2312" w:hint="eastAsia"/>
          <w:color w:val="000000"/>
          <w:sz w:val="32"/>
          <w:szCs w:val="32"/>
          <w:shd w:val="clear" w:color="auto" w:fill="FFFFFF"/>
        </w:rPr>
        <w:t>APP 80%</w:t>
      </w:r>
      <w:r>
        <w:rPr>
          <w:rFonts w:ascii="仿宋_GB2312" w:eastAsia="仿宋_GB2312" w:hAnsi="仿宋_GB2312" w:cs="仿宋_GB2312" w:hint="eastAsia"/>
          <w:color w:val="000000"/>
          <w:sz w:val="32"/>
          <w:szCs w:val="32"/>
          <w:shd w:val="clear" w:color="auto" w:fill="FFFFFF"/>
        </w:rPr>
        <w:t>支持</w:t>
      </w:r>
      <w:r>
        <w:rPr>
          <w:rFonts w:ascii="仿宋_GB2312" w:eastAsia="仿宋_GB2312" w:hAnsi="仿宋_GB2312" w:cs="仿宋_GB2312" w:hint="eastAsia"/>
          <w:color w:val="000000"/>
          <w:sz w:val="32"/>
          <w:szCs w:val="32"/>
          <w:shd w:val="clear" w:color="auto" w:fill="FFFFFF"/>
        </w:rPr>
        <w:t>IPv6</w:t>
      </w:r>
      <w:r>
        <w:rPr>
          <w:rFonts w:ascii="仿宋_GB2312" w:eastAsia="仿宋_GB2312" w:hAnsi="仿宋_GB2312" w:cs="仿宋_GB2312" w:hint="eastAsia"/>
          <w:color w:val="000000"/>
          <w:sz w:val="32"/>
          <w:szCs w:val="32"/>
          <w:shd w:val="clear" w:color="auto" w:fill="FFFFFF"/>
        </w:rPr>
        <w:t>。推进未来网络试验床建设，强化国内外节点部署和互联互通，参与国际标准研</w:t>
      </w:r>
      <w:r>
        <w:rPr>
          <w:rFonts w:ascii="仿宋_GB2312" w:eastAsia="仿宋_GB2312" w:hAnsi="仿宋_GB2312" w:cs="仿宋_GB2312" w:hint="eastAsia"/>
          <w:color w:val="000000"/>
          <w:sz w:val="32"/>
          <w:szCs w:val="32"/>
          <w:shd w:val="clear" w:color="auto" w:fill="FFFFFF"/>
        </w:rPr>
        <w:lastRenderedPageBreak/>
        <w:t>究制定，增强未来网络自主创新能力。支持建立物联网专用测试服务平台，强化物联网与移动互联网、大数据、云计算等融合应用的相关测试设备和系统研发。推进信息技术的军民共同研发和使用，推动军民技术双向转化，促</w:t>
      </w:r>
      <w:r>
        <w:rPr>
          <w:rFonts w:ascii="仿宋_GB2312" w:eastAsia="仿宋_GB2312" w:hAnsi="仿宋_GB2312" w:cs="仿宋_GB2312" w:hint="eastAsia"/>
          <w:color w:val="000000"/>
          <w:sz w:val="32"/>
          <w:szCs w:val="32"/>
          <w:shd w:val="clear" w:color="auto" w:fill="FFFFFF"/>
        </w:rPr>
        <w:t>进科研基础平台军民共享。</w:t>
      </w:r>
    </w:p>
    <w:tbl>
      <w:tblPr>
        <w:tblW w:w="82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66"/>
      </w:tblGrid>
      <w:tr w:rsidR="00DA02B9">
        <w:trPr>
          <w:jc w:val="center"/>
        </w:trPr>
        <w:tc>
          <w:tcPr>
            <w:tcW w:w="8266" w:type="dxa"/>
            <w:tcBorders>
              <w:top w:val="single" w:sz="4" w:space="0" w:color="auto"/>
              <w:left w:val="single" w:sz="4" w:space="0" w:color="auto"/>
              <w:bottom w:val="single" w:sz="4" w:space="0" w:color="auto"/>
              <w:right w:val="single" w:sz="4" w:space="0" w:color="auto"/>
            </w:tcBorders>
          </w:tcPr>
          <w:p w:rsidR="00DA02B9" w:rsidRDefault="003229D3">
            <w:pPr>
              <w:spacing w:line="440" w:lineRule="exact"/>
              <w:jc w:val="center"/>
              <w:rPr>
                <w:rFonts w:ascii="宋体" w:hAnsi="宋体" w:cs="宋体"/>
                <w:b/>
                <w:color w:val="000000"/>
                <w:kern w:val="0"/>
                <w:sz w:val="24"/>
                <w:szCs w:val="24"/>
              </w:rPr>
            </w:pPr>
            <w:r>
              <w:rPr>
                <w:rFonts w:ascii="宋体" w:hAnsi="宋体" w:cs="宋体" w:hint="eastAsia"/>
                <w:b/>
                <w:color w:val="000000"/>
                <w:sz w:val="24"/>
                <w:szCs w:val="24"/>
              </w:rPr>
              <w:t>专栏</w:t>
            </w:r>
            <w:r>
              <w:rPr>
                <w:rFonts w:ascii="宋体" w:hAnsi="宋体" w:cs="宋体" w:hint="eastAsia"/>
                <w:b/>
                <w:color w:val="000000"/>
                <w:sz w:val="24"/>
                <w:szCs w:val="24"/>
              </w:rPr>
              <w:t>6</w:t>
            </w:r>
            <w:r>
              <w:rPr>
                <w:rFonts w:ascii="宋体" w:hAnsi="宋体" w:cs="宋体" w:hint="eastAsia"/>
                <w:b/>
                <w:color w:val="000000"/>
                <w:sz w:val="24"/>
                <w:szCs w:val="24"/>
              </w:rPr>
              <w:t>：标准体系建设工程</w:t>
            </w:r>
          </w:p>
          <w:p w:rsidR="00DA02B9" w:rsidRDefault="003229D3" w:rsidP="00881FE9">
            <w:pPr>
              <w:spacing w:line="440" w:lineRule="exact"/>
              <w:ind w:firstLineChars="175" w:firstLine="422"/>
              <w:rPr>
                <w:rFonts w:ascii="宋体" w:hAnsi="宋体" w:cs="宋体"/>
                <w:b/>
                <w:color w:val="000000"/>
                <w:kern w:val="0"/>
                <w:sz w:val="24"/>
                <w:szCs w:val="24"/>
              </w:rPr>
            </w:pPr>
            <w:r>
              <w:rPr>
                <w:rFonts w:ascii="宋体" w:hAnsi="宋体" w:cs="宋体" w:hint="eastAsia"/>
                <w:b/>
                <w:color w:val="000000"/>
                <w:kern w:val="0"/>
                <w:sz w:val="24"/>
                <w:szCs w:val="24"/>
              </w:rPr>
              <w:t>工程目标：</w:t>
            </w:r>
            <w:r>
              <w:rPr>
                <w:rFonts w:ascii="宋体" w:hAnsi="宋体" w:cs="宋体" w:hint="eastAsia"/>
                <w:color w:val="000000"/>
                <w:kern w:val="0"/>
                <w:sz w:val="24"/>
                <w:szCs w:val="24"/>
              </w:rPr>
              <w:t>建立健全我国信息通信业标准化工作管理与运行机制及标准体系，提升国际影响力和话语权。</w:t>
            </w:r>
          </w:p>
          <w:p w:rsidR="00DA02B9" w:rsidRDefault="003229D3" w:rsidP="00881FE9">
            <w:pPr>
              <w:spacing w:line="440" w:lineRule="exact"/>
              <w:ind w:firstLineChars="175" w:firstLine="422"/>
              <w:rPr>
                <w:rFonts w:ascii="仿宋_GB2312" w:eastAsia="仿宋_GB2312" w:hAnsi="仿宋_GB2312" w:cs="仿宋_GB2312"/>
                <w:b/>
                <w:color w:val="000000"/>
                <w:kern w:val="0"/>
                <w:sz w:val="24"/>
                <w:szCs w:val="24"/>
              </w:rPr>
            </w:pPr>
            <w:r>
              <w:rPr>
                <w:rFonts w:ascii="宋体" w:hAnsi="宋体" w:cs="宋体" w:hint="eastAsia"/>
                <w:b/>
                <w:color w:val="000000"/>
                <w:kern w:val="0"/>
                <w:sz w:val="24"/>
                <w:szCs w:val="24"/>
              </w:rPr>
              <w:t>工程内容：</w:t>
            </w:r>
            <w:r>
              <w:rPr>
                <w:rFonts w:ascii="宋体" w:hAnsi="宋体" w:cs="宋体" w:hint="eastAsia"/>
                <w:color w:val="000000"/>
                <w:kern w:val="0"/>
                <w:sz w:val="24"/>
                <w:szCs w:val="24"/>
              </w:rPr>
              <w:t>一是完善</w:t>
            </w:r>
            <w:r>
              <w:rPr>
                <w:rFonts w:ascii="宋体" w:hAnsi="宋体" w:cs="宋体" w:hint="eastAsia"/>
                <w:color w:val="000000"/>
                <w:kern w:val="0"/>
                <w:sz w:val="24"/>
                <w:szCs w:val="24"/>
              </w:rPr>
              <w:t>5G</w:t>
            </w:r>
            <w:r>
              <w:rPr>
                <w:rFonts w:ascii="宋体" w:hAnsi="宋体" w:cs="宋体" w:hint="eastAsia"/>
                <w:color w:val="000000"/>
                <w:kern w:val="0"/>
                <w:sz w:val="24"/>
                <w:szCs w:val="24"/>
              </w:rPr>
              <w:t>、下一代互联网、物联网、云计算、大数据、网络信息安全等重点创新领域标准体系建设。二是建立多方参与、分工协作的标准研制机制，协调各级标准之间、信息通信业与其他行业标准之间的关系。三是统筹管理国际标准化活动，重点扶持战略性新兴产业国际标准化工作，推动我国标准走出去。四是优化标准化人才队伍结构，加强人才储备，促进人才培养，提高标准化专业人员的素质和水平。</w:t>
            </w:r>
          </w:p>
        </w:tc>
      </w:tr>
    </w:tbl>
    <w:p w:rsidR="00DA02B9" w:rsidRDefault="00DA02B9">
      <w:pPr>
        <w:jc w:val="center"/>
        <w:rPr>
          <w:rFonts w:ascii="仿宋_GB2312" w:eastAsia="仿宋_GB2312" w:hAnsi="仿宋_GB2312" w:cs="仿宋_GB2312"/>
          <w:b/>
          <w:color w:val="000000"/>
          <w:sz w:val="28"/>
          <w:szCs w:val="32"/>
        </w:rPr>
      </w:pPr>
    </w:p>
    <w:tbl>
      <w:tblPr>
        <w:tblW w:w="8194"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94"/>
      </w:tblGrid>
      <w:tr w:rsidR="00DA02B9">
        <w:tc>
          <w:tcPr>
            <w:tcW w:w="8194" w:type="dxa"/>
            <w:tcBorders>
              <w:top w:val="single" w:sz="4" w:space="0" w:color="auto"/>
              <w:left w:val="single" w:sz="4" w:space="0" w:color="auto"/>
              <w:bottom w:val="single" w:sz="4" w:space="0" w:color="auto"/>
              <w:right w:val="single" w:sz="4" w:space="0" w:color="auto"/>
            </w:tcBorders>
          </w:tcPr>
          <w:p w:rsidR="00DA02B9" w:rsidRDefault="003229D3">
            <w:pPr>
              <w:spacing w:line="440" w:lineRule="exact"/>
              <w:jc w:val="center"/>
              <w:rPr>
                <w:rFonts w:ascii="宋体" w:hAnsi="宋体" w:cs="宋体"/>
                <w:b/>
                <w:color w:val="000000"/>
                <w:sz w:val="24"/>
                <w:szCs w:val="24"/>
              </w:rPr>
            </w:pPr>
            <w:r>
              <w:rPr>
                <w:rFonts w:ascii="宋体" w:hAnsi="宋体" w:cs="宋体" w:hint="eastAsia"/>
                <w:b/>
                <w:color w:val="000000"/>
                <w:sz w:val="24"/>
                <w:szCs w:val="24"/>
              </w:rPr>
              <w:t>专栏</w:t>
            </w:r>
            <w:r>
              <w:rPr>
                <w:rFonts w:ascii="宋体" w:hAnsi="宋体" w:cs="宋体" w:hint="eastAsia"/>
                <w:b/>
                <w:color w:val="000000"/>
                <w:sz w:val="24"/>
                <w:szCs w:val="24"/>
              </w:rPr>
              <w:t>7</w:t>
            </w:r>
            <w:r>
              <w:rPr>
                <w:rFonts w:ascii="宋体" w:hAnsi="宋体" w:cs="宋体" w:hint="eastAsia"/>
                <w:b/>
                <w:color w:val="000000"/>
                <w:sz w:val="24"/>
                <w:szCs w:val="24"/>
              </w:rPr>
              <w:t>：</w:t>
            </w:r>
            <w:r>
              <w:rPr>
                <w:rFonts w:ascii="宋体" w:hAnsi="宋体" w:cs="宋体" w:hint="eastAsia"/>
                <w:b/>
                <w:color w:val="000000"/>
                <w:sz w:val="24"/>
                <w:szCs w:val="24"/>
              </w:rPr>
              <w:t>5G</w:t>
            </w:r>
            <w:r>
              <w:rPr>
                <w:rFonts w:ascii="宋体" w:hAnsi="宋体" w:cs="宋体" w:hint="eastAsia"/>
                <w:b/>
                <w:color w:val="000000"/>
                <w:sz w:val="24"/>
                <w:szCs w:val="24"/>
              </w:rPr>
              <w:t>研发和产业推进工程</w:t>
            </w:r>
          </w:p>
          <w:p w:rsidR="00DA02B9" w:rsidRDefault="003229D3" w:rsidP="00881FE9">
            <w:pPr>
              <w:spacing w:line="440" w:lineRule="exact"/>
              <w:ind w:firstLineChars="175" w:firstLine="422"/>
              <w:rPr>
                <w:rFonts w:ascii="宋体" w:hAnsi="宋体" w:cs="宋体"/>
                <w:b/>
                <w:color w:val="000000"/>
                <w:sz w:val="24"/>
                <w:szCs w:val="24"/>
              </w:rPr>
            </w:pPr>
            <w:r>
              <w:rPr>
                <w:rFonts w:ascii="宋体" w:hAnsi="宋体" w:cs="宋体" w:hint="eastAsia"/>
                <w:b/>
                <w:color w:val="000000"/>
                <w:sz w:val="24"/>
                <w:szCs w:val="24"/>
              </w:rPr>
              <w:t>工程目标：</w:t>
            </w:r>
            <w:r>
              <w:rPr>
                <w:rFonts w:ascii="宋体" w:hAnsi="宋体" w:cs="宋体" w:hint="eastAsia"/>
                <w:color w:val="000000"/>
                <w:sz w:val="24"/>
                <w:szCs w:val="24"/>
              </w:rPr>
              <w:t>突破</w:t>
            </w:r>
            <w:r>
              <w:rPr>
                <w:rFonts w:ascii="宋体" w:hAnsi="宋体" w:cs="宋体" w:hint="eastAsia"/>
                <w:color w:val="000000"/>
                <w:sz w:val="24"/>
                <w:szCs w:val="24"/>
              </w:rPr>
              <w:t>5G</w:t>
            </w:r>
            <w:r>
              <w:rPr>
                <w:rFonts w:ascii="宋体" w:hAnsi="宋体" w:cs="宋体" w:hint="eastAsia"/>
                <w:color w:val="000000"/>
                <w:sz w:val="24"/>
                <w:szCs w:val="24"/>
              </w:rPr>
              <w:t>关键技术和产品，成为</w:t>
            </w:r>
            <w:r>
              <w:rPr>
                <w:rFonts w:ascii="宋体" w:hAnsi="宋体" w:cs="宋体" w:hint="eastAsia"/>
                <w:color w:val="000000"/>
                <w:sz w:val="24"/>
                <w:szCs w:val="24"/>
              </w:rPr>
              <w:t>5G</w:t>
            </w:r>
            <w:r>
              <w:rPr>
                <w:rFonts w:ascii="宋体" w:hAnsi="宋体" w:cs="宋体" w:hint="eastAsia"/>
                <w:color w:val="000000"/>
                <w:sz w:val="24"/>
                <w:szCs w:val="24"/>
              </w:rPr>
              <w:t>标准和技术的全球引领者之一。</w:t>
            </w:r>
          </w:p>
          <w:p w:rsidR="00DA02B9" w:rsidRDefault="003229D3" w:rsidP="00881FE9">
            <w:pPr>
              <w:spacing w:line="440" w:lineRule="exact"/>
              <w:ind w:firstLineChars="175" w:firstLine="422"/>
              <w:rPr>
                <w:rFonts w:ascii="仿宋_GB2312" w:eastAsia="仿宋_GB2312" w:hAnsi="仿宋_GB2312" w:cs="仿宋_GB2312"/>
                <w:color w:val="000000"/>
                <w:sz w:val="24"/>
                <w:szCs w:val="24"/>
              </w:rPr>
            </w:pPr>
            <w:r>
              <w:rPr>
                <w:rFonts w:ascii="宋体" w:hAnsi="宋体" w:cs="宋体" w:hint="eastAsia"/>
                <w:b/>
                <w:color w:val="000000"/>
                <w:sz w:val="24"/>
                <w:szCs w:val="24"/>
              </w:rPr>
              <w:t>工程内容：</w:t>
            </w:r>
            <w:r>
              <w:rPr>
                <w:rFonts w:ascii="宋体" w:hAnsi="宋体" w:cs="宋体" w:hint="eastAsia"/>
                <w:color w:val="000000"/>
                <w:sz w:val="24"/>
                <w:szCs w:val="24"/>
              </w:rPr>
              <w:t>一是开展</w:t>
            </w:r>
            <w:r>
              <w:rPr>
                <w:rFonts w:ascii="宋体" w:hAnsi="宋体" w:cs="宋体" w:hint="eastAsia"/>
                <w:color w:val="000000"/>
                <w:sz w:val="24"/>
                <w:szCs w:val="24"/>
              </w:rPr>
              <w:t>5G</w:t>
            </w:r>
            <w:r>
              <w:rPr>
                <w:rFonts w:ascii="宋体" w:hAnsi="宋体" w:cs="宋体" w:hint="eastAsia"/>
                <w:color w:val="000000"/>
                <w:sz w:val="24"/>
                <w:szCs w:val="24"/>
              </w:rPr>
              <w:t>标准研究，积极参与</w:t>
            </w:r>
            <w:r>
              <w:rPr>
                <w:rFonts w:ascii="宋体" w:hAnsi="宋体" w:cs="宋体" w:hint="eastAsia"/>
                <w:color w:val="000000"/>
                <w:sz w:val="24"/>
                <w:szCs w:val="24"/>
              </w:rPr>
              <w:t>国际标准制定，成为主导者之一。二是支持开展</w:t>
            </w:r>
            <w:r>
              <w:rPr>
                <w:rFonts w:ascii="宋体" w:hAnsi="宋体" w:cs="宋体" w:hint="eastAsia"/>
                <w:color w:val="000000"/>
                <w:sz w:val="24"/>
                <w:szCs w:val="24"/>
              </w:rPr>
              <w:t>5G</w:t>
            </w:r>
            <w:r>
              <w:rPr>
                <w:rFonts w:ascii="宋体" w:hAnsi="宋体" w:cs="宋体" w:hint="eastAsia"/>
                <w:color w:val="000000"/>
                <w:sz w:val="24"/>
                <w:szCs w:val="24"/>
              </w:rPr>
              <w:t>关键技术和产品研发，构建</w:t>
            </w:r>
            <w:r>
              <w:rPr>
                <w:rFonts w:ascii="宋体" w:hAnsi="宋体" w:cs="宋体" w:hint="eastAsia"/>
                <w:color w:val="000000"/>
                <w:sz w:val="24"/>
                <w:szCs w:val="24"/>
              </w:rPr>
              <w:t>5G</w:t>
            </w:r>
            <w:r>
              <w:rPr>
                <w:rFonts w:ascii="宋体" w:hAnsi="宋体" w:cs="宋体" w:hint="eastAsia"/>
                <w:color w:val="000000"/>
                <w:sz w:val="24"/>
                <w:szCs w:val="24"/>
              </w:rPr>
              <w:t>试商用网络，打造系统、芯片、终端、仪表等完整产业链。三是组织开展</w:t>
            </w:r>
            <w:r>
              <w:rPr>
                <w:rFonts w:ascii="宋体" w:hAnsi="宋体" w:cs="宋体" w:hint="eastAsia"/>
                <w:color w:val="000000"/>
                <w:sz w:val="24"/>
                <w:szCs w:val="24"/>
              </w:rPr>
              <w:t>5G</w:t>
            </w:r>
            <w:r>
              <w:rPr>
                <w:rFonts w:ascii="宋体" w:hAnsi="宋体" w:cs="宋体" w:hint="eastAsia"/>
                <w:color w:val="000000"/>
                <w:sz w:val="24"/>
                <w:szCs w:val="24"/>
              </w:rPr>
              <w:t>技术研发试验，搭建开放的研发试验平台，邀请国内外企业共同参与，促进</w:t>
            </w:r>
            <w:r>
              <w:rPr>
                <w:rFonts w:ascii="宋体" w:hAnsi="宋体" w:cs="宋体" w:hint="eastAsia"/>
                <w:color w:val="000000"/>
                <w:sz w:val="24"/>
                <w:szCs w:val="24"/>
              </w:rPr>
              <w:t>5G</w:t>
            </w:r>
            <w:r>
              <w:rPr>
                <w:rFonts w:ascii="宋体" w:hAnsi="宋体" w:cs="宋体" w:hint="eastAsia"/>
                <w:color w:val="000000"/>
                <w:sz w:val="24"/>
                <w:szCs w:val="24"/>
              </w:rPr>
              <w:t>技术研发与产业发展。四是开展</w:t>
            </w:r>
            <w:r>
              <w:rPr>
                <w:rFonts w:ascii="宋体" w:hAnsi="宋体" w:cs="宋体" w:hint="eastAsia"/>
                <w:color w:val="000000"/>
                <w:sz w:val="24"/>
                <w:szCs w:val="24"/>
              </w:rPr>
              <w:t>5G</w:t>
            </w:r>
            <w:r>
              <w:rPr>
                <w:rFonts w:ascii="宋体" w:hAnsi="宋体" w:cs="宋体" w:hint="eastAsia"/>
                <w:color w:val="000000"/>
                <w:sz w:val="24"/>
                <w:szCs w:val="24"/>
              </w:rPr>
              <w:t>业务和应用试验验证，提升</w:t>
            </w:r>
            <w:r>
              <w:rPr>
                <w:rFonts w:ascii="宋体" w:hAnsi="宋体" w:cs="宋体" w:hint="eastAsia"/>
                <w:color w:val="000000"/>
                <w:sz w:val="24"/>
                <w:szCs w:val="24"/>
              </w:rPr>
              <w:t>5G</w:t>
            </w:r>
            <w:r>
              <w:rPr>
                <w:rFonts w:ascii="宋体" w:hAnsi="宋体" w:cs="宋体" w:hint="eastAsia"/>
                <w:color w:val="000000"/>
                <w:sz w:val="24"/>
                <w:szCs w:val="24"/>
              </w:rPr>
              <w:t>业务体验，推动</w:t>
            </w:r>
            <w:r>
              <w:rPr>
                <w:rFonts w:ascii="宋体" w:hAnsi="宋体" w:cs="宋体" w:hint="eastAsia"/>
                <w:color w:val="000000"/>
                <w:sz w:val="24"/>
                <w:szCs w:val="24"/>
              </w:rPr>
              <w:t>5G</w:t>
            </w:r>
            <w:r>
              <w:rPr>
                <w:rFonts w:ascii="宋体" w:hAnsi="宋体" w:cs="宋体" w:hint="eastAsia"/>
                <w:color w:val="000000"/>
                <w:sz w:val="24"/>
                <w:szCs w:val="24"/>
              </w:rPr>
              <w:t>支撑移动互联网、物联网应用融合创新发展，为</w:t>
            </w:r>
            <w:r>
              <w:rPr>
                <w:rFonts w:ascii="宋体" w:hAnsi="宋体" w:cs="宋体" w:hint="eastAsia"/>
                <w:color w:val="000000"/>
                <w:sz w:val="24"/>
                <w:szCs w:val="24"/>
              </w:rPr>
              <w:t>5G</w:t>
            </w:r>
            <w:r>
              <w:rPr>
                <w:rFonts w:ascii="宋体" w:hAnsi="宋体" w:cs="宋体" w:hint="eastAsia"/>
                <w:color w:val="000000"/>
                <w:sz w:val="24"/>
                <w:szCs w:val="24"/>
              </w:rPr>
              <w:t>启动商用服务奠定基础。</w:t>
            </w:r>
          </w:p>
        </w:tc>
      </w:tr>
    </w:tbl>
    <w:p w:rsidR="00DA02B9" w:rsidRDefault="003229D3">
      <w:pPr>
        <w:pStyle w:val="2"/>
        <w:spacing w:before="0" w:after="0" w:line="240" w:lineRule="auto"/>
        <w:ind w:left="640"/>
        <w:rPr>
          <w:rFonts w:ascii="楷体_GB2312" w:eastAsia="楷体_GB2312" w:hAnsi="楷体_GB2312" w:cs="楷体_GB2312"/>
          <w:bCs w:val="0"/>
          <w:color w:val="000000"/>
        </w:rPr>
      </w:pPr>
      <w:bookmarkStart w:id="79" w:name="_Toc451533439"/>
      <w:bookmarkStart w:id="80" w:name="_Toc2017"/>
      <w:bookmarkStart w:id="81" w:name="_Toc19262"/>
      <w:bookmarkStart w:id="82" w:name="_Toc14135"/>
      <w:bookmarkStart w:id="83" w:name="_Toc452557649"/>
      <w:r>
        <w:rPr>
          <w:rFonts w:ascii="楷体_GB2312" w:eastAsia="楷体_GB2312" w:hAnsi="楷体_GB2312" w:cs="楷体_GB2312" w:hint="eastAsia"/>
          <w:bCs w:val="0"/>
          <w:color w:val="000000"/>
        </w:rPr>
        <w:t>（二）创新服务应用</w:t>
      </w:r>
      <w:bookmarkEnd w:id="79"/>
      <w:bookmarkEnd w:id="80"/>
      <w:bookmarkEnd w:id="81"/>
      <w:bookmarkEnd w:id="82"/>
      <w:bookmarkEnd w:id="83"/>
    </w:p>
    <w:p w:rsidR="00DA02B9" w:rsidRDefault="003229D3">
      <w:pPr>
        <w:pStyle w:val="3"/>
        <w:ind w:firstLine="643"/>
      </w:pPr>
      <w:bookmarkStart w:id="84" w:name="_Toc452557650"/>
      <w:bookmarkStart w:id="85" w:name="_Toc9085"/>
      <w:bookmarkStart w:id="86" w:name="_Toc18095"/>
      <w:bookmarkStart w:id="87" w:name="_Toc21299"/>
      <w:bookmarkStart w:id="88" w:name="_Toc451533440"/>
      <w:r>
        <w:rPr>
          <w:rFonts w:hint="eastAsia"/>
        </w:rPr>
        <w:t xml:space="preserve">1. </w:t>
      </w:r>
      <w:r>
        <w:rPr>
          <w:rFonts w:hint="eastAsia"/>
        </w:rPr>
        <w:t>发展现代互联网产业体系</w:t>
      </w:r>
      <w:bookmarkEnd w:id="84"/>
      <w:bookmarkEnd w:id="85"/>
      <w:bookmarkEnd w:id="86"/>
      <w:bookmarkEnd w:id="87"/>
      <w:bookmarkEnd w:id="88"/>
    </w:p>
    <w:p w:rsidR="00DA02B9" w:rsidRDefault="003229D3">
      <w:pPr>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构建基于互联网能力开放的研发、应用聚合中心，整合</w:t>
      </w:r>
      <w:r>
        <w:rPr>
          <w:rFonts w:ascii="仿宋_GB2312" w:eastAsia="仿宋_GB2312" w:hAnsi="仿宋_GB2312" w:cs="仿宋_GB2312" w:hint="eastAsia"/>
          <w:color w:val="000000"/>
          <w:kern w:val="0"/>
          <w:sz w:val="32"/>
          <w:szCs w:val="32"/>
        </w:rPr>
        <w:lastRenderedPageBreak/>
        <w:t>上下游产业要素，推动从研发到应用的产业链深层次互动和协作，拓展信息服务范围，提升信息服务层次和水平。加强通信网络、数据中心等基础设施规划与布局，提升互联网在信息汇聚、信息分析和处理等方面的支撑能力。发挥互联网企业创新主体地位和主导作用，以技术创新为突破，带动移动互联网、</w:t>
      </w:r>
      <w:r>
        <w:rPr>
          <w:rFonts w:ascii="仿宋_GB2312" w:eastAsia="仿宋_GB2312" w:hAnsi="仿宋_GB2312" w:cs="仿宋_GB2312"/>
          <w:color w:val="000000"/>
          <w:kern w:val="0"/>
          <w:sz w:val="32"/>
          <w:szCs w:val="32"/>
        </w:rPr>
        <w:t>5G</w:t>
      </w:r>
      <w:r>
        <w:rPr>
          <w:rFonts w:ascii="仿宋_GB2312" w:eastAsia="仿宋_GB2312" w:hAnsi="仿宋_GB2312" w:cs="仿宋_GB2312"/>
          <w:color w:val="000000"/>
          <w:kern w:val="0"/>
          <w:sz w:val="32"/>
          <w:szCs w:val="32"/>
        </w:rPr>
        <w:t>、云计算、大数据、物联网、虚拟现实、人工智能、</w:t>
      </w:r>
      <w:r>
        <w:rPr>
          <w:rFonts w:ascii="仿宋_GB2312" w:eastAsia="仿宋_GB2312" w:hAnsi="仿宋_GB2312" w:cs="仿宋_GB2312"/>
          <w:color w:val="000000"/>
          <w:kern w:val="0"/>
          <w:sz w:val="32"/>
          <w:szCs w:val="32"/>
        </w:rPr>
        <w:t>3D</w:t>
      </w:r>
      <w:r>
        <w:rPr>
          <w:rFonts w:ascii="仿宋_GB2312" w:eastAsia="仿宋_GB2312" w:hAnsi="仿宋_GB2312" w:cs="仿宋_GB2312"/>
          <w:color w:val="000000"/>
          <w:kern w:val="0"/>
          <w:sz w:val="32"/>
          <w:szCs w:val="32"/>
        </w:rPr>
        <w:t>打印</w:t>
      </w:r>
      <w:r>
        <w:rPr>
          <w:rFonts w:ascii="仿宋_GB2312" w:eastAsia="仿宋_GB2312" w:hAnsi="仿宋_GB2312" w:cs="仿宋_GB2312" w:hint="eastAsia"/>
          <w:color w:val="000000"/>
          <w:kern w:val="0"/>
          <w:sz w:val="32"/>
          <w:szCs w:val="32"/>
        </w:rPr>
        <w:t>、量子通信</w:t>
      </w:r>
      <w:r>
        <w:rPr>
          <w:rFonts w:ascii="仿宋_GB2312" w:eastAsia="仿宋_GB2312" w:hAnsi="仿宋_GB2312" w:cs="仿宋_GB2312"/>
          <w:color w:val="000000"/>
          <w:kern w:val="0"/>
          <w:sz w:val="32"/>
          <w:szCs w:val="32"/>
        </w:rPr>
        <w:t>等领域核心技术的研发和产业化。积极推动</w:t>
      </w:r>
      <w:r>
        <w:rPr>
          <w:rFonts w:ascii="仿宋_GB2312" w:eastAsia="仿宋_GB2312" w:hAnsi="仿宋_GB2312" w:cs="仿宋_GB2312" w:hint="eastAsia"/>
          <w:color w:val="000000"/>
          <w:kern w:val="0"/>
          <w:sz w:val="32"/>
          <w:szCs w:val="32"/>
        </w:rPr>
        <w:t>产业协作，充分挖掘互联网在支撑智能制造、推动产业升级、服务社会民生等方面的潜力，推动互联</w:t>
      </w:r>
      <w:r>
        <w:rPr>
          <w:rFonts w:ascii="仿宋_GB2312" w:eastAsia="仿宋_GB2312" w:hAnsi="仿宋_GB2312" w:cs="仿宋_GB2312" w:hint="eastAsia"/>
          <w:color w:val="000000"/>
          <w:kern w:val="0"/>
          <w:sz w:val="32"/>
          <w:szCs w:val="32"/>
        </w:rPr>
        <w:t>网产业逐步实现自主发展、创新发展和均衡发展。培育以企业为主体、行业特色突出的产业集群，壮大一批具有国际影响力和产业引领能力的企业。进一步提升互联网管理水平，持续优化市场竞争结构，规范竞争秩序，积极营造创新活跃、规范高效、保障有力的市场发展环境。</w:t>
      </w:r>
    </w:p>
    <w:p w:rsidR="00DA02B9" w:rsidRDefault="003229D3">
      <w:pPr>
        <w:pStyle w:val="3"/>
        <w:ind w:firstLine="643"/>
      </w:pPr>
      <w:bookmarkStart w:id="89" w:name="_Toc32616"/>
      <w:bookmarkStart w:id="90" w:name="_Toc452557651"/>
      <w:bookmarkStart w:id="91" w:name="_Toc1446"/>
      <w:bookmarkStart w:id="92" w:name="_Toc23869"/>
      <w:bookmarkStart w:id="93" w:name="_Toc451533441"/>
      <w:r>
        <w:rPr>
          <w:rFonts w:hint="eastAsia"/>
        </w:rPr>
        <w:t xml:space="preserve">2. </w:t>
      </w:r>
      <w:r>
        <w:rPr>
          <w:rFonts w:hint="eastAsia"/>
        </w:rPr>
        <w:t>深入推进互联网新业态发展</w:t>
      </w:r>
      <w:bookmarkEnd w:id="89"/>
      <w:bookmarkEnd w:id="90"/>
      <w:bookmarkEnd w:id="91"/>
      <w:bookmarkEnd w:id="92"/>
      <w:bookmarkEnd w:id="93"/>
    </w:p>
    <w:p w:rsidR="00DA02B9" w:rsidRDefault="003229D3">
      <w:pPr>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shd w:val="clear" w:color="auto" w:fill="FFFFFF"/>
        </w:rPr>
        <w:t>加强政策支持和引导，积极培育和壮大互联网新业务新应用新业态新模式。大力推动电子商务、视频、泛娱乐、社交媒体、搜索等网站类和移动</w:t>
      </w:r>
      <w:r>
        <w:rPr>
          <w:rFonts w:ascii="仿宋_GB2312" w:eastAsia="仿宋_GB2312" w:hAnsi="仿宋_GB2312" w:cs="仿宋_GB2312" w:hint="eastAsia"/>
          <w:color w:val="000000"/>
          <w:sz w:val="32"/>
          <w:szCs w:val="32"/>
          <w:shd w:val="clear" w:color="auto" w:fill="FFFFFF"/>
        </w:rPr>
        <w:t>APP</w:t>
      </w:r>
      <w:r>
        <w:rPr>
          <w:rFonts w:ascii="仿宋_GB2312" w:eastAsia="仿宋_GB2312" w:hAnsi="仿宋_GB2312" w:cs="仿宋_GB2312" w:hint="eastAsia"/>
          <w:color w:val="000000"/>
          <w:sz w:val="32"/>
          <w:szCs w:val="32"/>
          <w:shd w:val="clear" w:color="auto" w:fill="FFFFFF"/>
        </w:rPr>
        <w:t>类互联网应用发展。鼓励企业进一步深化以客户为中心的产品开发理念及运营模式，挖掘新需求，支持积极健康向上</w:t>
      </w:r>
      <w:r>
        <w:rPr>
          <w:rFonts w:ascii="仿宋_GB2312" w:eastAsia="仿宋_GB2312" w:hAnsi="仿宋_GB2312" w:cs="仿宋_GB2312" w:hint="eastAsia"/>
          <w:color w:val="000000"/>
          <w:sz w:val="32"/>
          <w:szCs w:val="32"/>
          <w:shd w:val="clear" w:color="auto" w:fill="FFFFFF"/>
        </w:rPr>
        <w:t>的网络文字、视频、音频内容创新创造。加强对中小企业特别是创新型企业的知识产权保护和服务。全面深化对互联网数据资源的利用，提升数据</w:t>
      </w:r>
      <w:r>
        <w:rPr>
          <w:rFonts w:ascii="仿宋_GB2312" w:eastAsia="仿宋_GB2312" w:hAnsi="仿宋_GB2312" w:cs="仿宋_GB2312" w:hint="eastAsia"/>
          <w:color w:val="000000"/>
          <w:sz w:val="32"/>
          <w:szCs w:val="32"/>
          <w:shd w:val="clear" w:color="auto" w:fill="FFFFFF"/>
        </w:rPr>
        <w:lastRenderedPageBreak/>
        <w:t>资源整合与挖掘能力，培养和规范基于数据资源的新应用新市场。鼓励企业创新商业模式，加快互联网各细分领域横向整合，以信息流带动技术流、资金流、人才流、物资流等高效流动，实现企业盈利模式多样化。</w:t>
      </w:r>
    </w:p>
    <w:p w:rsidR="00DA02B9" w:rsidRDefault="003229D3">
      <w:pPr>
        <w:pStyle w:val="3"/>
        <w:ind w:firstLine="643"/>
      </w:pPr>
      <w:bookmarkStart w:id="94" w:name="_Toc6729"/>
      <w:bookmarkStart w:id="95" w:name="_Toc451533442"/>
      <w:bookmarkStart w:id="96" w:name="_Toc8835"/>
      <w:bookmarkStart w:id="97" w:name="_Toc12661"/>
      <w:bookmarkStart w:id="98" w:name="_Toc452557652"/>
      <w:r>
        <w:rPr>
          <w:rFonts w:hint="eastAsia"/>
        </w:rPr>
        <w:t xml:space="preserve">3. </w:t>
      </w:r>
      <w:r>
        <w:rPr>
          <w:rFonts w:hint="eastAsia"/>
        </w:rPr>
        <w:t>推动物联网应用纵深发展</w:t>
      </w:r>
      <w:bookmarkEnd w:id="94"/>
      <w:bookmarkEnd w:id="95"/>
      <w:bookmarkEnd w:id="96"/>
      <w:bookmarkEnd w:id="97"/>
      <w:bookmarkEnd w:id="98"/>
    </w:p>
    <w:p w:rsidR="00DA02B9" w:rsidRDefault="003229D3">
      <w:pPr>
        <w:pStyle w:val="14"/>
        <w:ind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进一步发挥信息通信企业在物联网产业链中的整合和牵引作用，推动物联网与移动互联网、云计算、大数据等新业态的融合发展，培育壮大物联网相关专业服务新业态，提升运营及应用服</w:t>
      </w:r>
      <w:r>
        <w:rPr>
          <w:rFonts w:ascii="仿宋_GB2312" w:eastAsia="仿宋_GB2312" w:hAnsi="仿宋_GB2312" w:cs="仿宋_GB2312" w:hint="eastAsia"/>
          <w:color w:val="000000"/>
          <w:sz w:val="32"/>
          <w:szCs w:val="32"/>
        </w:rPr>
        <w:t>务水平。支持各类物联网运营服务平台建设，强化物联网技术在工业、农业、交通、能源等行业领域的广泛覆盖和深度应用。深化工业信息物理系统在研发设计、生产制造等环节的创新应用。在农产品加工、储藏、保鲜、运销等主要环节，积极开展农业物联网应用，提高农业智能化和精准化水平。强化物联网在智慧城市中的应用，大力推广物联网在城市公共安全、基础设施管理、能源管理、内涝监控、危化品监管、环境监测等领域的成果经验。拓展物联网在智能家居、车联网等个人消费领域的应用。</w:t>
      </w:r>
    </w:p>
    <w:p w:rsidR="00DA02B9" w:rsidRDefault="003229D3">
      <w:pPr>
        <w:pStyle w:val="3"/>
        <w:ind w:firstLine="643"/>
      </w:pPr>
      <w:bookmarkStart w:id="99" w:name="_Toc2895"/>
      <w:bookmarkStart w:id="100" w:name="_Toc451533443"/>
      <w:bookmarkStart w:id="101" w:name="_Toc452557653"/>
      <w:bookmarkStart w:id="102" w:name="_Toc23256"/>
      <w:bookmarkStart w:id="103" w:name="_Toc5527"/>
      <w:r>
        <w:rPr>
          <w:rFonts w:hint="eastAsia"/>
        </w:rPr>
        <w:t xml:space="preserve">4. </w:t>
      </w:r>
      <w:r>
        <w:rPr>
          <w:rFonts w:hint="eastAsia"/>
        </w:rPr>
        <w:t>推动工业互联网加速发展</w:t>
      </w:r>
      <w:bookmarkEnd w:id="99"/>
      <w:bookmarkEnd w:id="100"/>
      <w:bookmarkEnd w:id="101"/>
      <w:bookmarkEnd w:id="102"/>
      <w:bookmarkEnd w:id="103"/>
    </w:p>
    <w:p w:rsidR="00DA02B9" w:rsidRDefault="003229D3">
      <w:pPr>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系统推进工业互联网发展，研究制定我国</w:t>
      </w:r>
      <w:r>
        <w:rPr>
          <w:rFonts w:ascii="仿宋_GB2312" w:eastAsia="仿宋_GB2312" w:hAnsi="仿宋_GB2312" w:cs="仿宋_GB2312" w:hint="eastAsia"/>
          <w:color w:val="000000"/>
          <w:sz w:val="32"/>
          <w:szCs w:val="32"/>
        </w:rPr>
        <w:t>工业互联网发展总体方案，加快制定工业互联网标准体系，在现有工厂网络和公众互联网基础上改造升级，打造高速率、低时延、安全可靠的工厂内和工厂外网络。构建工业云和工业大数据平</w:t>
      </w:r>
      <w:r>
        <w:rPr>
          <w:rFonts w:ascii="仿宋_GB2312" w:eastAsia="仿宋_GB2312" w:hAnsi="仿宋_GB2312" w:cs="仿宋_GB2312" w:hint="eastAsia"/>
          <w:color w:val="000000"/>
          <w:sz w:val="32"/>
          <w:szCs w:val="32"/>
        </w:rPr>
        <w:lastRenderedPageBreak/>
        <w:t>台，加快工业互联网关键软硬件设备与系统的研发与产业化。</w:t>
      </w:r>
    </w:p>
    <w:p w:rsidR="00DA02B9" w:rsidRDefault="003229D3">
      <w:pP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支持企业在工厂内、外网络技术和互联互通、标识解析、</w:t>
      </w:r>
      <w:r>
        <w:rPr>
          <w:rFonts w:ascii="仿宋_GB2312" w:eastAsia="仿宋_GB2312" w:hAnsi="仿宋_GB2312" w:cs="仿宋_GB2312" w:hint="eastAsia"/>
          <w:color w:val="000000"/>
          <w:sz w:val="32"/>
          <w:szCs w:val="32"/>
        </w:rPr>
        <w:t>IPv6</w:t>
      </w:r>
      <w:r>
        <w:rPr>
          <w:rFonts w:ascii="仿宋_GB2312" w:eastAsia="仿宋_GB2312" w:hAnsi="仿宋_GB2312" w:cs="仿宋_GB2312" w:hint="eastAsia"/>
          <w:color w:val="000000"/>
          <w:sz w:val="32"/>
          <w:szCs w:val="32"/>
        </w:rPr>
        <w:t>应用、工业云计算、工业大数据等领域开展创新应用示范。构建工业互联网实验验证平台，开展关键技术验证，建设工业互联网标识解析系统、工业互联网</w:t>
      </w:r>
      <w:r>
        <w:rPr>
          <w:rFonts w:ascii="仿宋_GB2312" w:eastAsia="仿宋_GB2312" w:hAnsi="仿宋_GB2312" w:cs="仿宋_GB2312" w:hint="eastAsia"/>
          <w:color w:val="000000"/>
          <w:sz w:val="32"/>
          <w:szCs w:val="32"/>
        </w:rPr>
        <w:t>IPv6</w:t>
      </w:r>
      <w:r>
        <w:rPr>
          <w:rFonts w:ascii="仿宋_GB2312" w:eastAsia="仿宋_GB2312" w:hAnsi="仿宋_GB2312" w:cs="仿宋_GB2312" w:hint="eastAsia"/>
          <w:color w:val="000000"/>
          <w:sz w:val="32"/>
          <w:szCs w:val="32"/>
        </w:rPr>
        <w:t>地址资源综合管理平台和网络数据流转管理平台。</w:t>
      </w:r>
    </w:p>
    <w:tbl>
      <w:tblPr>
        <w:tblW w:w="8236" w:type="dxa"/>
        <w:jc w:val="center"/>
        <w:tblBorders>
          <w:top w:val="single" w:sz="6" w:space="0" w:color="0A0A0A"/>
          <w:left w:val="single" w:sz="6" w:space="0" w:color="0A0A0A"/>
          <w:bottom w:val="single" w:sz="6" w:space="0" w:color="0A0A0A"/>
          <w:right w:val="single" w:sz="6" w:space="0" w:color="0A0A0A"/>
        </w:tblBorders>
        <w:shd w:val="clear" w:color="auto" w:fill="FFFFFF"/>
        <w:tblLayout w:type="fixed"/>
        <w:tblCellMar>
          <w:top w:w="60" w:type="dxa"/>
          <w:left w:w="60" w:type="dxa"/>
          <w:bottom w:w="60" w:type="dxa"/>
          <w:right w:w="60" w:type="dxa"/>
        </w:tblCellMar>
        <w:tblLook w:val="04A0"/>
      </w:tblPr>
      <w:tblGrid>
        <w:gridCol w:w="8236"/>
      </w:tblGrid>
      <w:tr w:rsidR="00DA02B9">
        <w:trPr>
          <w:jc w:val="center"/>
        </w:trPr>
        <w:tc>
          <w:tcPr>
            <w:tcW w:w="823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DA02B9" w:rsidRDefault="003229D3">
            <w:pPr>
              <w:spacing w:line="440" w:lineRule="exact"/>
              <w:jc w:val="center"/>
              <w:rPr>
                <w:rFonts w:ascii="宋体" w:hAnsi="宋体" w:cs="宋体"/>
                <w:b/>
                <w:color w:val="000000"/>
                <w:sz w:val="24"/>
                <w:szCs w:val="24"/>
              </w:rPr>
            </w:pPr>
            <w:r>
              <w:rPr>
                <w:rFonts w:ascii="宋体" w:hAnsi="宋体" w:cs="宋体" w:hint="eastAsia"/>
                <w:b/>
                <w:color w:val="000000"/>
                <w:sz w:val="24"/>
                <w:szCs w:val="24"/>
              </w:rPr>
              <w:t>专栏</w:t>
            </w:r>
            <w:r>
              <w:rPr>
                <w:rFonts w:ascii="宋体" w:hAnsi="宋体" w:cs="宋体" w:hint="eastAsia"/>
                <w:b/>
                <w:color w:val="000000"/>
                <w:sz w:val="24"/>
                <w:szCs w:val="24"/>
              </w:rPr>
              <w:t>8</w:t>
            </w:r>
            <w:r>
              <w:rPr>
                <w:rFonts w:ascii="宋体" w:hAnsi="宋体" w:cs="宋体" w:hint="eastAsia"/>
                <w:b/>
                <w:color w:val="000000"/>
                <w:sz w:val="24"/>
                <w:szCs w:val="24"/>
              </w:rPr>
              <w:t>：工业互联网产业推进试点示范工程</w:t>
            </w:r>
          </w:p>
          <w:p w:rsidR="00DA02B9" w:rsidRDefault="003229D3" w:rsidP="00881FE9">
            <w:pPr>
              <w:spacing w:line="440" w:lineRule="exact"/>
              <w:ind w:firstLineChars="175" w:firstLine="422"/>
              <w:rPr>
                <w:rFonts w:ascii="宋体" w:hAnsi="宋体" w:cs="宋体"/>
                <w:color w:val="000000"/>
                <w:sz w:val="24"/>
                <w:szCs w:val="24"/>
              </w:rPr>
            </w:pPr>
            <w:r>
              <w:rPr>
                <w:rFonts w:ascii="宋体" w:hAnsi="宋体" w:cs="宋体" w:hint="eastAsia"/>
                <w:b/>
                <w:color w:val="000000"/>
                <w:sz w:val="24"/>
                <w:szCs w:val="24"/>
              </w:rPr>
              <w:t>工程目标</w:t>
            </w:r>
            <w:r>
              <w:rPr>
                <w:rFonts w:ascii="宋体" w:hAnsi="宋体" w:cs="宋体" w:hint="eastAsia"/>
                <w:color w:val="000000"/>
                <w:sz w:val="24"/>
                <w:szCs w:val="24"/>
              </w:rPr>
              <w:t>：夯实工业互联技术产业基础，构建工业互联网生态体系。</w:t>
            </w:r>
          </w:p>
          <w:p w:rsidR="00DA02B9" w:rsidRDefault="003229D3" w:rsidP="00881FE9">
            <w:pPr>
              <w:spacing w:line="440" w:lineRule="exact"/>
              <w:ind w:firstLineChars="175" w:firstLine="422"/>
              <w:rPr>
                <w:rFonts w:ascii="仿宋_GB2312" w:eastAsia="仿宋_GB2312" w:hAnsi="仿宋_GB2312" w:cs="仿宋_GB2312"/>
                <w:color w:val="000000"/>
                <w:sz w:val="24"/>
                <w:szCs w:val="24"/>
              </w:rPr>
            </w:pPr>
            <w:r>
              <w:rPr>
                <w:rFonts w:ascii="宋体" w:hAnsi="宋体" w:cs="宋体" w:hint="eastAsia"/>
                <w:b/>
                <w:color w:val="000000"/>
                <w:sz w:val="24"/>
                <w:szCs w:val="24"/>
              </w:rPr>
              <w:t>工程内容</w:t>
            </w:r>
            <w:r>
              <w:rPr>
                <w:rFonts w:ascii="宋体" w:hAnsi="宋体" w:cs="宋体" w:hint="eastAsia"/>
                <w:color w:val="000000"/>
                <w:sz w:val="24"/>
                <w:szCs w:val="24"/>
              </w:rPr>
              <w:t>：一是支持企业在工厂内、外网络技术和互联互通、标识解析、</w:t>
            </w:r>
            <w:r>
              <w:rPr>
                <w:rFonts w:ascii="宋体" w:hAnsi="宋体" w:cs="宋体" w:hint="eastAsia"/>
                <w:color w:val="000000"/>
                <w:sz w:val="24"/>
                <w:szCs w:val="24"/>
              </w:rPr>
              <w:t>IPv6</w:t>
            </w:r>
            <w:r>
              <w:rPr>
                <w:rFonts w:ascii="宋体" w:hAnsi="宋体" w:cs="宋体" w:hint="eastAsia"/>
                <w:color w:val="000000"/>
                <w:sz w:val="24"/>
                <w:szCs w:val="24"/>
              </w:rPr>
              <w:t>应用、工业云计算、工业大数据及互联网与工业融合应用等领域开展创新应用示范。二是在明确我国工业互联网关键技术路径的基础上，支持相关单位针对工业互联网关键技术构建实验验证平台，对关键技术进行测试、验证和评估。三是组织建设工业互联网标识解析系统。四是对</w:t>
            </w:r>
            <w:r>
              <w:rPr>
                <w:rFonts w:ascii="宋体" w:hAnsi="宋体" w:cs="宋体" w:hint="eastAsia"/>
                <w:color w:val="000000"/>
                <w:sz w:val="24"/>
                <w:szCs w:val="24"/>
              </w:rPr>
              <w:t>ICP/IP</w:t>
            </w:r>
            <w:r>
              <w:rPr>
                <w:rFonts w:ascii="宋体" w:hAnsi="宋体" w:cs="宋体" w:hint="eastAsia"/>
                <w:color w:val="000000"/>
                <w:sz w:val="24"/>
                <w:szCs w:val="24"/>
              </w:rPr>
              <w:t>地址</w:t>
            </w:r>
            <w:r>
              <w:rPr>
                <w:rFonts w:ascii="宋体" w:hAnsi="宋体" w:cs="宋体" w:hint="eastAsia"/>
                <w:color w:val="000000"/>
                <w:sz w:val="24"/>
                <w:szCs w:val="24"/>
              </w:rPr>
              <w:t>/</w:t>
            </w:r>
            <w:r>
              <w:rPr>
                <w:rFonts w:ascii="宋体" w:hAnsi="宋体" w:cs="宋体" w:hint="eastAsia"/>
                <w:color w:val="000000"/>
                <w:sz w:val="24"/>
                <w:szCs w:val="24"/>
              </w:rPr>
              <w:t>域名信息备案管理系统进行升级改造，构建面向工业互联网的</w:t>
            </w:r>
            <w:r>
              <w:rPr>
                <w:rFonts w:ascii="宋体" w:hAnsi="宋体" w:cs="宋体" w:hint="eastAsia"/>
                <w:color w:val="000000"/>
                <w:sz w:val="24"/>
                <w:szCs w:val="24"/>
              </w:rPr>
              <w:t>IPv6</w:t>
            </w:r>
            <w:r>
              <w:rPr>
                <w:rFonts w:ascii="宋体" w:hAnsi="宋体" w:cs="宋体" w:hint="eastAsia"/>
                <w:color w:val="000000"/>
                <w:sz w:val="24"/>
                <w:szCs w:val="24"/>
              </w:rPr>
              <w:t>地址资源综合管理平台。五是支持建设工业互联网网络流转</w:t>
            </w:r>
            <w:r>
              <w:rPr>
                <w:rFonts w:ascii="宋体" w:hAnsi="宋体" w:cs="宋体" w:hint="eastAsia"/>
                <w:color w:val="000000"/>
                <w:sz w:val="24"/>
                <w:szCs w:val="24"/>
              </w:rPr>
              <w:t>数据管理平台，为工业互联网网络数据的开放、交易和管理提供公共支撑。</w:t>
            </w:r>
          </w:p>
        </w:tc>
      </w:tr>
    </w:tbl>
    <w:p w:rsidR="00DA02B9" w:rsidRDefault="003229D3">
      <w:pPr>
        <w:pStyle w:val="3"/>
        <w:ind w:firstLine="643"/>
      </w:pPr>
      <w:bookmarkStart w:id="104" w:name="_Toc452557654"/>
      <w:bookmarkStart w:id="105" w:name="_Toc27838"/>
      <w:bookmarkStart w:id="106" w:name="_Toc22135"/>
      <w:bookmarkStart w:id="107" w:name="_Toc22339"/>
      <w:bookmarkStart w:id="108" w:name="_Toc451533444"/>
      <w:r>
        <w:rPr>
          <w:rFonts w:hint="eastAsia"/>
        </w:rPr>
        <w:t xml:space="preserve">5. </w:t>
      </w:r>
      <w:r>
        <w:rPr>
          <w:rFonts w:hint="eastAsia"/>
        </w:rPr>
        <w:t>全面拓展“互联网</w:t>
      </w:r>
      <w:r>
        <w:rPr>
          <w:rFonts w:hint="eastAsia"/>
        </w:rPr>
        <w:t>+</w:t>
      </w:r>
      <w:r>
        <w:rPr>
          <w:rFonts w:hint="eastAsia"/>
        </w:rPr>
        <w:t>”服务</w:t>
      </w:r>
      <w:bookmarkEnd w:id="104"/>
      <w:bookmarkEnd w:id="105"/>
      <w:bookmarkEnd w:id="106"/>
      <w:bookmarkEnd w:id="107"/>
      <w:bookmarkEnd w:id="108"/>
    </w:p>
    <w:p w:rsidR="00DA02B9" w:rsidRDefault="003229D3">
      <w:pPr>
        <w:ind w:firstLineChars="200"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积极支持国家“互联网</w:t>
      </w:r>
      <w:r>
        <w:rPr>
          <w:rFonts w:ascii="仿宋_GB2312" w:eastAsia="仿宋_GB2312" w:hAnsi="仿宋_GB2312" w:cs="仿宋_GB2312" w:hint="eastAsia"/>
          <w:color w:val="000000"/>
          <w:sz w:val="32"/>
          <w:szCs w:val="32"/>
          <w:shd w:val="clear" w:color="auto" w:fill="FFFFFF"/>
        </w:rPr>
        <w:t>+</w:t>
      </w:r>
      <w:r>
        <w:rPr>
          <w:rFonts w:ascii="仿宋_GB2312" w:eastAsia="仿宋_GB2312" w:hAnsi="仿宋_GB2312" w:cs="仿宋_GB2312" w:hint="eastAsia"/>
          <w:color w:val="000000"/>
          <w:sz w:val="32"/>
          <w:szCs w:val="32"/>
          <w:shd w:val="clear" w:color="auto" w:fill="FFFFFF"/>
        </w:rPr>
        <w:t>”重大工程实施，促进互联网与经济社会各行业各领域深度融合，推进基于互联网的商业模式、服务模式、管理模式及供应链、物流链等的各类创新，培育“互联网</w:t>
      </w:r>
      <w:r>
        <w:rPr>
          <w:rFonts w:ascii="仿宋_GB2312" w:eastAsia="仿宋_GB2312" w:hAnsi="仿宋_GB2312" w:cs="仿宋_GB2312" w:hint="eastAsia"/>
          <w:color w:val="000000"/>
          <w:sz w:val="32"/>
          <w:szCs w:val="32"/>
          <w:shd w:val="clear" w:color="auto" w:fill="FFFFFF"/>
        </w:rPr>
        <w:t>+</w:t>
      </w:r>
      <w:r>
        <w:rPr>
          <w:rFonts w:ascii="仿宋_GB2312" w:eastAsia="仿宋_GB2312" w:hAnsi="仿宋_GB2312" w:cs="仿宋_GB2312" w:hint="eastAsia"/>
          <w:color w:val="000000"/>
          <w:sz w:val="32"/>
          <w:szCs w:val="32"/>
          <w:shd w:val="clear" w:color="auto" w:fill="FFFFFF"/>
        </w:rPr>
        <w:t>”生态体系，形成网络化协同分工新格局。鼓励业态创新，积极发展分享经济。推动以互联网为载体、线上线下互动的各类新兴消费。鼓励互联网企业积极参与民生发展类建设项目，促进基于互联网的医疗、健康、养老、教育、旅游、社会保障等新兴服务业快速发展。鼓励电信企</w:t>
      </w:r>
      <w:r>
        <w:rPr>
          <w:rFonts w:ascii="仿宋_GB2312" w:eastAsia="仿宋_GB2312" w:hAnsi="仿宋_GB2312" w:cs="仿宋_GB2312" w:hint="eastAsia"/>
          <w:color w:val="000000"/>
          <w:sz w:val="32"/>
          <w:szCs w:val="32"/>
          <w:shd w:val="clear" w:color="auto" w:fill="FFFFFF"/>
        </w:rPr>
        <w:lastRenderedPageBreak/>
        <w:t>业和大型互联网企业向小微企业和创业团队开放各类设备资源、网络资源、数据资源和业务平台，引导基础电信</w:t>
      </w:r>
      <w:r>
        <w:rPr>
          <w:rFonts w:ascii="仿宋_GB2312" w:eastAsia="仿宋_GB2312" w:hAnsi="仿宋_GB2312" w:cs="仿宋_GB2312" w:hint="eastAsia"/>
          <w:color w:val="000000"/>
          <w:sz w:val="32"/>
          <w:szCs w:val="32"/>
          <w:shd w:val="clear" w:color="auto" w:fill="FFFFFF"/>
        </w:rPr>
        <w:t>企业、大型互联网企业和中小创新企业建立合作协同的机制。营造基于互联网的开放式创新条件和氛围，提升“双创”服务平台支撑能力，建立一批低成本、便利化、开放式众创空间和虚拟创新社区。充分发挥互联网优势，实施“互联网</w:t>
      </w:r>
      <w:r>
        <w:rPr>
          <w:rFonts w:ascii="仿宋_GB2312" w:eastAsia="仿宋_GB2312" w:hAnsi="仿宋_GB2312" w:cs="仿宋_GB2312" w:hint="eastAsia"/>
          <w:color w:val="000000"/>
          <w:sz w:val="32"/>
          <w:szCs w:val="32"/>
          <w:shd w:val="clear" w:color="auto" w:fill="FFFFFF"/>
        </w:rPr>
        <w:t>+</w:t>
      </w:r>
      <w:r>
        <w:rPr>
          <w:rFonts w:ascii="仿宋_GB2312" w:eastAsia="仿宋_GB2312" w:hAnsi="仿宋_GB2312" w:cs="仿宋_GB2312" w:hint="eastAsia"/>
          <w:color w:val="000000"/>
          <w:sz w:val="32"/>
          <w:szCs w:val="32"/>
          <w:shd w:val="clear" w:color="auto" w:fill="FFFFFF"/>
        </w:rPr>
        <w:t>教育”、“互联网</w:t>
      </w:r>
      <w:r>
        <w:rPr>
          <w:rFonts w:ascii="仿宋_GB2312" w:eastAsia="仿宋_GB2312" w:hAnsi="仿宋_GB2312" w:cs="仿宋_GB2312" w:hint="eastAsia"/>
          <w:color w:val="000000"/>
          <w:sz w:val="32"/>
          <w:szCs w:val="32"/>
          <w:shd w:val="clear" w:color="auto" w:fill="FFFFFF"/>
        </w:rPr>
        <w:t>+</w:t>
      </w:r>
      <w:r>
        <w:rPr>
          <w:rFonts w:ascii="仿宋_GB2312" w:eastAsia="仿宋_GB2312" w:hAnsi="仿宋_GB2312" w:cs="仿宋_GB2312" w:hint="eastAsia"/>
          <w:color w:val="000000"/>
          <w:sz w:val="32"/>
          <w:szCs w:val="32"/>
          <w:shd w:val="clear" w:color="auto" w:fill="FFFFFF"/>
        </w:rPr>
        <w:t>医疗”、“互联网</w:t>
      </w:r>
      <w:r>
        <w:rPr>
          <w:rFonts w:ascii="仿宋_GB2312" w:eastAsia="仿宋_GB2312" w:hAnsi="仿宋_GB2312" w:cs="仿宋_GB2312" w:hint="eastAsia"/>
          <w:color w:val="000000"/>
          <w:sz w:val="32"/>
          <w:szCs w:val="32"/>
          <w:shd w:val="clear" w:color="auto" w:fill="FFFFFF"/>
        </w:rPr>
        <w:t>+</w:t>
      </w:r>
      <w:r>
        <w:rPr>
          <w:rFonts w:ascii="仿宋_GB2312" w:eastAsia="仿宋_GB2312" w:hAnsi="仿宋_GB2312" w:cs="仿宋_GB2312" w:hint="eastAsia"/>
          <w:color w:val="000000"/>
          <w:sz w:val="32"/>
          <w:szCs w:val="32"/>
          <w:shd w:val="clear" w:color="auto" w:fill="FFFFFF"/>
        </w:rPr>
        <w:t>文化”等，促进基本公共服务均等化。</w:t>
      </w:r>
    </w:p>
    <w:tbl>
      <w:tblPr>
        <w:tblW w:w="8522" w:type="dxa"/>
        <w:tblLayout w:type="fixed"/>
        <w:tblLook w:val="04A0"/>
      </w:tblPr>
      <w:tblGrid>
        <w:gridCol w:w="8522"/>
      </w:tblGrid>
      <w:tr w:rsidR="00DA02B9">
        <w:tc>
          <w:tcPr>
            <w:tcW w:w="8522" w:type="dxa"/>
            <w:tcMar>
              <w:top w:w="0" w:type="dxa"/>
              <w:left w:w="108" w:type="dxa"/>
              <w:bottom w:w="0" w:type="dxa"/>
              <w:right w:w="108" w:type="dxa"/>
            </w:tcMar>
          </w:tcPr>
          <w:tbl>
            <w:tblPr>
              <w:tblW w:w="8236" w:type="dxa"/>
              <w:jc w:val="center"/>
              <w:tblBorders>
                <w:top w:val="single" w:sz="6" w:space="0" w:color="0A0A0A"/>
                <w:left w:val="single" w:sz="6" w:space="0" w:color="0A0A0A"/>
                <w:bottom w:val="single" w:sz="6" w:space="0" w:color="0A0A0A"/>
                <w:right w:val="single" w:sz="6" w:space="0" w:color="0A0A0A"/>
              </w:tblBorders>
              <w:shd w:val="clear" w:color="auto" w:fill="FFFFFF"/>
              <w:tblLayout w:type="fixed"/>
              <w:tblCellMar>
                <w:top w:w="60" w:type="dxa"/>
                <w:left w:w="60" w:type="dxa"/>
                <w:bottom w:w="60" w:type="dxa"/>
                <w:right w:w="60" w:type="dxa"/>
              </w:tblCellMar>
              <w:tblLook w:val="04A0"/>
            </w:tblPr>
            <w:tblGrid>
              <w:gridCol w:w="8236"/>
            </w:tblGrid>
            <w:tr w:rsidR="00DA02B9">
              <w:trPr>
                <w:jc w:val="center"/>
              </w:trPr>
              <w:tc>
                <w:tcPr>
                  <w:tcW w:w="823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DA02B9" w:rsidRDefault="003229D3">
                  <w:pPr>
                    <w:spacing w:line="440" w:lineRule="exact"/>
                    <w:jc w:val="center"/>
                    <w:rPr>
                      <w:rFonts w:ascii="宋体" w:hAnsi="宋体" w:cs="宋体"/>
                      <w:b/>
                      <w:bCs/>
                      <w:color w:val="000000"/>
                      <w:sz w:val="24"/>
                      <w:szCs w:val="24"/>
                    </w:rPr>
                  </w:pPr>
                  <w:r>
                    <w:rPr>
                      <w:rFonts w:ascii="宋体" w:hAnsi="宋体" w:cs="宋体" w:hint="eastAsia"/>
                      <w:b/>
                      <w:color w:val="000000"/>
                      <w:sz w:val="24"/>
                      <w:szCs w:val="24"/>
                    </w:rPr>
                    <w:t>专栏</w:t>
                  </w:r>
                  <w:r>
                    <w:rPr>
                      <w:rFonts w:ascii="宋体" w:hAnsi="宋体" w:cs="宋体" w:hint="eastAsia"/>
                      <w:b/>
                      <w:color w:val="000000"/>
                      <w:sz w:val="24"/>
                      <w:szCs w:val="24"/>
                    </w:rPr>
                    <w:t>9</w:t>
                  </w:r>
                  <w:r>
                    <w:rPr>
                      <w:rFonts w:ascii="宋体" w:hAnsi="宋体" w:cs="宋体" w:hint="eastAsia"/>
                      <w:b/>
                      <w:color w:val="000000"/>
                      <w:sz w:val="24"/>
                      <w:szCs w:val="24"/>
                    </w:rPr>
                    <w:t>：“双创”服务平台支撑能力提升工程</w:t>
                  </w:r>
                </w:p>
                <w:p w:rsidR="00DA02B9" w:rsidRDefault="003229D3" w:rsidP="00881FE9">
                  <w:pPr>
                    <w:spacing w:line="440" w:lineRule="exact"/>
                    <w:ind w:firstLineChars="175" w:firstLine="422"/>
                    <w:rPr>
                      <w:rFonts w:ascii="宋体" w:hAnsi="宋体" w:cs="宋体"/>
                      <w:color w:val="000000"/>
                      <w:sz w:val="24"/>
                      <w:szCs w:val="24"/>
                    </w:rPr>
                  </w:pPr>
                  <w:r>
                    <w:rPr>
                      <w:rFonts w:ascii="宋体" w:hAnsi="宋体" w:cs="宋体" w:hint="eastAsia"/>
                      <w:b/>
                      <w:bCs/>
                      <w:color w:val="000000"/>
                      <w:sz w:val="24"/>
                      <w:szCs w:val="24"/>
                    </w:rPr>
                    <w:t>工程目标：</w:t>
                  </w:r>
                  <w:r>
                    <w:rPr>
                      <w:rFonts w:ascii="宋体" w:hAnsi="宋体" w:cs="宋体" w:hint="eastAsia"/>
                      <w:color w:val="000000"/>
                      <w:sz w:val="24"/>
                      <w:szCs w:val="24"/>
                    </w:rPr>
                    <w:t>推动行业企业开放各类资源，提升“双创”服务水平。</w:t>
                  </w:r>
                </w:p>
                <w:p w:rsidR="00DA02B9" w:rsidRDefault="003229D3" w:rsidP="00881FE9">
                  <w:pPr>
                    <w:spacing w:line="440" w:lineRule="exact"/>
                    <w:ind w:firstLineChars="175" w:firstLine="422"/>
                    <w:rPr>
                      <w:rFonts w:ascii="仿宋_GB2312" w:eastAsia="仿宋_GB2312" w:hAnsi="仿宋_GB2312" w:cs="仿宋_GB2312"/>
                      <w:color w:val="000000"/>
                      <w:sz w:val="24"/>
                      <w:szCs w:val="24"/>
                    </w:rPr>
                  </w:pPr>
                  <w:r>
                    <w:rPr>
                      <w:rFonts w:ascii="宋体" w:hAnsi="宋体" w:cs="宋体" w:hint="eastAsia"/>
                      <w:b/>
                      <w:bCs/>
                      <w:color w:val="000000"/>
                      <w:sz w:val="24"/>
                      <w:szCs w:val="24"/>
                    </w:rPr>
                    <w:t>工程内容：</w:t>
                  </w:r>
                  <w:r>
                    <w:rPr>
                      <w:rFonts w:ascii="宋体" w:hAnsi="宋体" w:cs="宋体" w:hint="eastAsia"/>
                      <w:color w:val="000000"/>
                      <w:sz w:val="24"/>
                      <w:szCs w:val="24"/>
                    </w:rPr>
                    <w:t>提升“双创”服务平台支撑能力。推动基础电信企业、互联网企业等大型企业主导的“双创”平台进一步开放资源、集成服务，实现对</w:t>
                  </w:r>
                  <w:r>
                    <w:rPr>
                      <w:rFonts w:ascii="宋体" w:hAnsi="宋体" w:cs="宋体" w:hint="eastAsia"/>
                      <w:color w:val="000000"/>
                      <w:sz w:val="24"/>
                      <w:szCs w:val="24"/>
                    </w:rPr>
                    <w:t>基础设施、数据资源和业务平台有效利用，并面向小型、微型、创新创业型企业提供综合数据、创业孵化、在线测试、创新共享、创业咨询等支撑服务，满足创业创新需求。</w:t>
                  </w:r>
                </w:p>
              </w:tc>
            </w:tr>
          </w:tbl>
          <w:p w:rsidR="00DA02B9" w:rsidRDefault="00DA02B9">
            <w:pPr>
              <w:autoSpaceDN w:val="0"/>
              <w:rPr>
                <w:rFonts w:ascii="仿宋_GB2312" w:eastAsia="仿宋_GB2312" w:hAnsi="仿宋_GB2312" w:cs="仿宋_GB2312"/>
                <w:color w:val="000000"/>
              </w:rPr>
            </w:pPr>
          </w:p>
        </w:tc>
      </w:tr>
    </w:tbl>
    <w:p w:rsidR="00DA02B9" w:rsidRDefault="003229D3">
      <w:pPr>
        <w:pStyle w:val="3"/>
        <w:ind w:firstLine="643"/>
      </w:pPr>
      <w:bookmarkStart w:id="109" w:name="_Toc22196"/>
      <w:bookmarkStart w:id="110" w:name="_Toc452557655"/>
      <w:bookmarkStart w:id="111" w:name="_Toc451533445"/>
      <w:bookmarkStart w:id="112" w:name="_Toc16803"/>
      <w:bookmarkStart w:id="113" w:name="_Toc32359"/>
      <w:r>
        <w:rPr>
          <w:rFonts w:hint="eastAsia"/>
        </w:rPr>
        <w:t xml:space="preserve">6. </w:t>
      </w:r>
      <w:r>
        <w:rPr>
          <w:rFonts w:hint="eastAsia"/>
        </w:rPr>
        <w:t>加速信息通信业“走出去”步伐</w:t>
      </w:r>
      <w:bookmarkEnd w:id="109"/>
      <w:bookmarkEnd w:id="110"/>
      <w:bookmarkEnd w:id="111"/>
      <w:bookmarkEnd w:id="112"/>
      <w:bookmarkEnd w:id="113"/>
    </w:p>
    <w:p w:rsidR="00DA02B9" w:rsidRDefault="003229D3">
      <w:pPr>
        <w:widowControl/>
        <w:ind w:firstLineChars="200" w:firstLine="640"/>
        <w:rPr>
          <w:rFonts w:ascii="仿宋_GB2312" w:eastAsia="仿宋_GB2312" w:hAnsi="仿宋_GB2312" w:cs="仿宋_GB2312"/>
          <w:color w:val="000000"/>
          <w:sz w:val="32"/>
        </w:rPr>
      </w:pPr>
      <w:r>
        <w:rPr>
          <w:rFonts w:ascii="仿宋_GB2312" w:eastAsia="仿宋_GB2312" w:hAnsi="仿宋_GB2312" w:cs="仿宋_GB2312" w:hint="eastAsia"/>
          <w:color w:val="000000"/>
          <w:sz w:val="32"/>
        </w:rPr>
        <w:t>围绕“一带一路”战略，统筹规划海底光缆和跨境陆缆的全球部署，建设网上丝绸之路，加强与欧洲、非洲、拉美及周边国家</w:t>
      </w:r>
      <w:r>
        <w:rPr>
          <w:rFonts w:ascii="仿宋_GB2312" w:eastAsia="仿宋_GB2312" w:hAnsi="仿宋_GB2312" w:cs="仿宋_GB2312" w:hint="eastAsia"/>
          <w:color w:val="000000"/>
          <w:sz w:val="32"/>
        </w:rPr>
        <w:t>/</w:t>
      </w:r>
      <w:r>
        <w:rPr>
          <w:rFonts w:ascii="仿宋_GB2312" w:eastAsia="仿宋_GB2312" w:hAnsi="仿宋_GB2312" w:cs="仿宋_GB2312" w:hint="eastAsia"/>
          <w:color w:val="000000"/>
          <w:sz w:val="32"/>
        </w:rPr>
        <w:t>地区的信息基础设施互联互通。鼓励研发、制造、咨询、施工和运营企业发挥各自优势，不断探索合资、并购、参股、控股等不同海外合作模式，培植优势品牌，提升国际竞争力。推动通信设备制造、施工建设、运营服务和技术标准全方位参与国际竞争。营造行业“走出去”环境，加强规划引导和分类指导，搭建资源共享平台，完善企业考</w:t>
      </w:r>
      <w:r>
        <w:rPr>
          <w:rFonts w:ascii="仿宋_GB2312" w:eastAsia="仿宋_GB2312" w:hAnsi="仿宋_GB2312" w:cs="仿宋_GB2312" w:hint="eastAsia"/>
          <w:color w:val="000000"/>
          <w:sz w:val="32"/>
        </w:rPr>
        <w:lastRenderedPageBreak/>
        <w:t>核机制，积极争取各类专项资金支持，促进产业链整体走出去。完善行业国际交流合作机制，充分利用多边和双边</w:t>
      </w:r>
      <w:r>
        <w:rPr>
          <w:rFonts w:ascii="仿宋_GB2312" w:eastAsia="仿宋_GB2312" w:hAnsi="仿宋_GB2312" w:cs="仿宋_GB2312" w:hint="eastAsia"/>
          <w:color w:val="000000"/>
          <w:sz w:val="32"/>
        </w:rPr>
        <w:t>机制，鼓励各方力量广泛积极参与联合国、区域和国际组织的互联网管理等相关活动，增强国际话语权。</w:t>
      </w:r>
    </w:p>
    <w:p w:rsidR="00DA02B9" w:rsidRDefault="003229D3">
      <w:pPr>
        <w:pStyle w:val="2"/>
        <w:spacing w:before="0" w:after="0" w:line="240" w:lineRule="auto"/>
        <w:ind w:left="640"/>
        <w:rPr>
          <w:rFonts w:ascii="楷体_GB2312" w:eastAsia="楷体_GB2312" w:hAnsi="楷体_GB2312" w:cs="楷体_GB2312"/>
          <w:bCs w:val="0"/>
          <w:color w:val="000000"/>
        </w:rPr>
      </w:pPr>
      <w:bookmarkStart w:id="114" w:name="_Toc452557656"/>
      <w:bookmarkStart w:id="115" w:name="_Toc25651"/>
      <w:bookmarkStart w:id="116" w:name="_Toc451533446"/>
      <w:bookmarkStart w:id="117" w:name="_Toc7924"/>
      <w:bookmarkStart w:id="118" w:name="_Toc19261"/>
      <w:r>
        <w:rPr>
          <w:rFonts w:ascii="楷体_GB2312" w:eastAsia="楷体_GB2312" w:hAnsi="楷体_GB2312" w:cs="楷体_GB2312" w:hint="eastAsia"/>
          <w:bCs w:val="0"/>
          <w:color w:val="000000"/>
        </w:rPr>
        <w:t>（三）加强行业管理</w:t>
      </w:r>
      <w:bookmarkEnd w:id="114"/>
      <w:bookmarkEnd w:id="115"/>
      <w:bookmarkEnd w:id="116"/>
      <w:bookmarkEnd w:id="117"/>
      <w:bookmarkEnd w:id="118"/>
    </w:p>
    <w:p w:rsidR="00DA02B9" w:rsidRDefault="003229D3">
      <w:pPr>
        <w:pStyle w:val="3"/>
        <w:ind w:firstLine="643"/>
      </w:pPr>
      <w:bookmarkStart w:id="119" w:name="_Toc30378"/>
      <w:bookmarkStart w:id="120" w:name="_Toc451533447"/>
      <w:bookmarkStart w:id="121" w:name="_Toc452557657"/>
      <w:bookmarkStart w:id="122" w:name="_Toc5561"/>
      <w:bookmarkStart w:id="123" w:name="_Toc13370"/>
      <w:bookmarkStart w:id="124" w:name="_Toc448845032"/>
      <w:bookmarkEnd w:id="68"/>
      <w:r>
        <w:rPr>
          <w:rFonts w:hint="eastAsia"/>
        </w:rPr>
        <w:t xml:space="preserve">1. </w:t>
      </w:r>
      <w:r>
        <w:rPr>
          <w:rFonts w:hint="eastAsia"/>
        </w:rPr>
        <w:t>强化互联网为核心的行业管理</w:t>
      </w:r>
      <w:bookmarkEnd w:id="119"/>
      <w:bookmarkEnd w:id="120"/>
      <w:bookmarkEnd w:id="121"/>
      <w:bookmarkEnd w:id="122"/>
      <w:bookmarkEnd w:id="123"/>
    </w:p>
    <w:p w:rsidR="00DA02B9" w:rsidRDefault="003229D3">
      <w:pPr>
        <w:ind w:firstLineChars="200" w:firstLine="640"/>
        <w:rPr>
          <w:rFonts w:ascii="仿宋_GB2312" w:eastAsia="仿宋_GB2312" w:hAnsi="仿宋_GB2312" w:cs="仿宋_GB2312"/>
          <w:color w:val="000000"/>
          <w:sz w:val="32"/>
        </w:rPr>
      </w:pPr>
      <w:r>
        <w:rPr>
          <w:rFonts w:ascii="仿宋_GB2312" w:eastAsia="仿宋_GB2312" w:hAnsi="仿宋_GB2312" w:cs="仿宋_GB2312" w:hint="eastAsia"/>
          <w:color w:val="000000"/>
          <w:sz w:val="32"/>
        </w:rPr>
        <w:t>聚焦互联网业务应用，突出支持创新发展和强化基础管理。推动建立完善多部门联动管理机制，建立新业务备案和发展指引制度，进一步明确新业务分类和管理责任认定。完善互联网运行监测和统计分类体系，推动实现与国家统计分类标准的衔接。完善违法违规信息和网站处置联动管理机制，建立部省联动共享安全监管平台，实现信息共享、实时查询，提高违法违规信息和网站跨省联动处置效率，有效支撑国家</w:t>
      </w:r>
      <w:r>
        <w:rPr>
          <w:rFonts w:ascii="仿宋_GB2312" w:eastAsia="仿宋_GB2312" w:hAnsi="仿宋_GB2312" w:cs="仿宋_GB2312" w:hint="eastAsia"/>
          <w:color w:val="000000"/>
          <w:sz w:val="32"/>
        </w:rPr>
        <w:t>互联网安全监管工作需求。建立互联网不正当竞争管理机制，健全行政和司法相衔接的长效监管机制，增强互联网企业使命感和责任感，积极引导社会力量参与互联网行业治理，推进形成政府统筹下的多方治理格局，共同促进互联网持续健康发展。坚持放管结合，加快推进以信用体系为代表的覆盖全流程的监管支撑体系建设，强化事中事后监管。推动现有互联网监管系统的功能聚合，创新完善互联网服务质量管理体系，支持国内第三方在检测、评测、认证、取证等方面创建相关技术手段，加快互联网行业和移动互联网应用监测平</w:t>
      </w:r>
      <w:r>
        <w:rPr>
          <w:rFonts w:ascii="仿宋_GB2312" w:eastAsia="仿宋_GB2312" w:hAnsi="仿宋_GB2312" w:cs="仿宋_GB2312" w:hint="eastAsia"/>
          <w:color w:val="000000"/>
          <w:sz w:val="32"/>
        </w:rPr>
        <w:lastRenderedPageBreak/>
        <w:t>台建设，完善技术支撑能力。进一步落实网络实</w:t>
      </w:r>
      <w:r>
        <w:rPr>
          <w:rFonts w:ascii="仿宋_GB2312" w:eastAsia="仿宋_GB2312" w:hAnsi="仿宋_GB2312" w:cs="仿宋_GB2312" w:hint="eastAsia"/>
          <w:color w:val="000000"/>
          <w:sz w:val="32"/>
        </w:rPr>
        <w:t>名制要求，积极推进网站、域名、</w:t>
      </w:r>
      <w:r>
        <w:rPr>
          <w:rFonts w:ascii="仿宋_GB2312" w:eastAsia="仿宋_GB2312" w:hAnsi="仿宋_GB2312" w:cs="仿宋_GB2312" w:hint="eastAsia"/>
          <w:color w:val="000000"/>
          <w:sz w:val="32"/>
        </w:rPr>
        <w:t>IP</w:t>
      </w:r>
      <w:r>
        <w:rPr>
          <w:rFonts w:ascii="仿宋_GB2312" w:eastAsia="仿宋_GB2312" w:hAnsi="仿宋_GB2312" w:cs="仿宋_GB2312" w:hint="eastAsia"/>
          <w:color w:val="000000"/>
          <w:sz w:val="32"/>
        </w:rPr>
        <w:t>地址和电话实名制，加强移动转售企业相关管理，持续提升登记信息准确率，实现网络实名信息实时在线比对核验。</w:t>
      </w:r>
    </w:p>
    <w:p w:rsidR="00DA02B9" w:rsidRDefault="003229D3">
      <w:pPr>
        <w:pStyle w:val="3"/>
        <w:ind w:firstLine="643"/>
      </w:pPr>
      <w:bookmarkStart w:id="125" w:name="_Toc451533448"/>
      <w:bookmarkStart w:id="126" w:name="_Toc9519"/>
      <w:bookmarkStart w:id="127" w:name="_Toc452557658"/>
      <w:bookmarkStart w:id="128" w:name="_Toc19447"/>
      <w:bookmarkStart w:id="129" w:name="_Toc4502"/>
      <w:r>
        <w:rPr>
          <w:rFonts w:hint="eastAsia"/>
        </w:rPr>
        <w:t xml:space="preserve">2. </w:t>
      </w:r>
      <w:r>
        <w:rPr>
          <w:rFonts w:hint="eastAsia"/>
        </w:rPr>
        <w:t>提升行业服务质量</w:t>
      </w:r>
      <w:bookmarkEnd w:id="125"/>
      <w:bookmarkEnd w:id="126"/>
      <w:bookmarkEnd w:id="127"/>
      <w:bookmarkEnd w:id="128"/>
      <w:bookmarkEnd w:id="129"/>
    </w:p>
    <w:p w:rsidR="00DA02B9" w:rsidRDefault="003229D3">
      <w:pPr>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落实加强用户权益保护有关规定，完善面向用户权益的互联网服务质量监管体系，建立报告、通报、满意度测评等管理制度，规范企业经营、服务和收费行为，严厉查处侵权违法事件。加强个人数据保护，推动建立个人数据共享与保护协同机制，严厉打击非法泄露和出卖个人数据行为。推动出台即时通信、应用商店、电子商务等用户信息保护标准，督促企业落实用户信息分类、分级保护要求，规</w:t>
      </w:r>
      <w:r>
        <w:rPr>
          <w:rFonts w:ascii="仿宋_GB2312" w:eastAsia="仿宋_GB2312" w:hAnsi="仿宋_GB2312" w:cs="仿宋_GB2312" w:hint="eastAsia"/>
          <w:color w:val="000000"/>
          <w:sz w:val="32"/>
          <w:szCs w:val="32"/>
        </w:rPr>
        <w:t>范采集、传输、存储、使用、销毁用户信息等行为。深化网络不良信息治理，推动建立垃圾短信、骚扰电话和不良</w:t>
      </w:r>
      <w:r>
        <w:rPr>
          <w:rFonts w:ascii="仿宋_GB2312" w:eastAsia="仿宋_GB2312" w:hAnsi="仿宋_GB2312" w:cs="仿宋_GB2312" w:hint="eastAsia"/>
          <w:color w:val="000000"/>
          <w:sz w:val="32"/>
          <w:szCs w:val="32"/>
        </w:rPr>
        <w:t>APP</w:t>
      </w:r>
      <w:r>
        <w:rPr>
          <w:rFonts w:ascii="仿宋_GB2312" w:eastAsia="仿宋_GB2312" w:hAnsi="仿宋_GB2312" w:cs="仿宋_GB2312" w:hint="eastAsia"/>
          <w:color w:val="000000"/>
          <w:sz w:val="32"/>
          <w:szCs w:val="32"/>
        </w:rPr>
        <w:t>治理工作的长效机制，强化技术手段建设，督促企业落实责任，畅通用户举报渠道。推动移动电话用户号码携带服务在全国范围内实施。引导企业围绕经济社会发展需求和用户关切，制定并落实提速降费措施，推动企业采取逐步取消手机漫游费等措施，</w:t>
      </w:r>
      <w:r>
        <w:rPr>
          <w:rFonts w:ascii="仿宋_GB2312" w:eastAsia="仿宋_GB2312" w:hAnsi="仿宋_GB2312" w:cs="仿宋_GB2312" w:hint="eastAsia"/>
          <w:color w:val="000000"/>
          <w:sz w:val="32"/>
          <w:szCs w:val="32"/>
        </w:rPr>
        <w:t>并进一步</w:t>
      </w:r>
      <w:r>
        <w:rPr>
          <w:rFonts w:ascii="仿宋_GB2312" w:eastAsia="仿宋_GB2312" w:hAnsi="仿宋_GB2312" w:cs="仿宋_GB2312" w:hint="eastAsia"/>
          <w:color w:val="000000"/>
          <w:sz w:val="32"/>
          <w:szCs w:val="32"/>
        </w:rPr>
        <w:t>优化资费结构，简化资费方案，增强资费透明度，</w:t>
      </w:r>
      <w:r>
        <w:rPr>
          <w:rFonts w:ascii="仿宋_GB2312" w:eastAsia="仿宋_GB2312" w:hAnsi="仿宋_GB2312" w:cs="仿宋_GB2312" w:hint="eastAsia"/>
          <w:color w:val="000000"/>
          <w:sz w:val="32"/>
          <w:szCs w:val="32"/>
        </w:rPr>
        <w:t>有效</w:t>
      </w:r>
      <w:r>
        <w:rPr>
          <w:rFonts w:ascii="仿宋_GB2312" w:eastAsia="仿宋_GB2312" w:hAnsi="仿宋_GB2312" w:cs="仿宋_GB2312" w:hint="eastAsia"/>
          <w:color w:val="000000"/>
          <w:sz w:val="32"/>
          <w:szCs w:val="32"/>
        </w:rPr>
        <w:t>提升用户“获得感”。</w:t>
      </w:r>
    </w:p>
    <w:p w:rsidR="00DA02B9" w:rsidRDefault="003229D3">
      <w:pPr>
        <w:pStyle w:val="3"/>
        <w:ind w:firstLine="643"/>
      </w:pPr>
      <w:bookmarkStart w:id="130" w:name="_Toc2322"/>
      <w:bookmarkStart w:id="131" w:name="_Toc451533449"/>
      <w:bookmarkStart w:id="132" w:name="_Toc452557659"/>
      <w:bookmarkStart w:id="133" w:name="_Toc89"/>
      <w:bookmarkStart w:id="134" w:name="_Toc31656"/>
      <w:bookmarkEnd w:id="124"/>
      <w:r>
        <w:rPr>
          <w:rFonts w:hint="eastAsia"/>
        </w:rPr>
        <w:t xml:space="preserve">3. </w:t>
      </w:r>
      <w:r>
        <w:rPr>
          <w:rFonts w:hint="eastAsia"/>
        </w:rPr>
        <w:t>加强重要基础资源管理</w:t>
      </w:r>
      <w:bookmarkEnd w:id="130"/>
      <w:bookmarkEnd w:id="131"/>
      <w:bookmarkEnd w:id="132"/>
      <w:bookmarkEnd w:id="133"/>
      <w:bookmarkEnd w:id="134"/>
    </w:p>
    <w:p w:rsidR="00DA02B9" w:rsidRDefault="003229D3">
      <w:pPr>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做好码号资源统筹规划和科学分配，适时开展新业务码</w:t>
      </w:r>
      <w:r>
        <w:rPr>
          <w:rFonts w:ascii="仿宋_GB2312" w:eastAsia="仿宋_GB2312" w:hAnsi="仿宋_GB2312" w:cs="仿宋_GB2312" w:hint="eastAsia"/>
          <w:color w:val="000000"/>
          <w:sz w:val="32"/>
          <w:szCs w:val="32"/>
        </w:rPr>
        <w:lastRenderedPageBreak/>
        <w:t>号分配和码号回收，促进码号资源</w:t>
      </w:r>
      <w:r>
        <w:rPr>
          <w:rFonts w:ascii="仿宋_GB2312" w:eastAsia="仿宋_GB2312" w:hAnsi="仿宋_GB2312" w:cs="仿宋_GB2312" w:hint="eastAsia"/>
          <w:color w:val="000000"/>
          <w:sz w:val="32"/>
          <w:szCs w:val="32"/>
        </w:rPr>
        <w:t>的规范使用和有效利用。优化国家频谱资源配置，加强无线电频谱管理，维护安全有序的电波秩序。科学规划和合理配置无线电频率资源，统筹中长期用频需求，保障重点领域发展。</w:t>
      </w:r>
      <w:r>
        <w:rPr>
          <w:rFonts w:ascii="仿宋_GB2312" w:eastAsia="仿宋_GB2312" w:hAnsi="仿宋_GB2312" w:cs="仿宋_GB2312" w:hint="eastAsia"/>
          <w:color w:val="000000"/>
          <w:kern w:val="0"/>
          <w:sz w:val="32"/>
          <w:szCs w:val="32"/>
        </w:rPr>
        <w:t>开展无线电频谱使用评估工作，促进频谱资源高效使用。</w:t>
      </w:r>
      <w:r>
        <w:rPr>
          <w:rFonts w:ascii="仿宋_GB2312" w:eastAsia="仿宋_GB2312" w:hAnsi="仿宋_GB2312" w:cs="仿宋_GB2312" w:hint="eastAsia"/>
          <w:color w:val="000000"/>
          <w:sz w:val="32"/>
          <w:szCs w:val="32"/>
        </w:rPr>
        <w:t>加强卫星频率和轨道资源的集中统一管理，做好卫星网络的申报、协调、登记和维护等各项工作，加强卫星工程项目规划和立项工作中频率轨道资源的可用性论证。强化</w:t>
      </w:r>
      <w:r>
        <w:rPr>
          <w:rFonts w:ascii="仿宋_GB2312" w:eastAsia="仿宋_GB2312" w:hAnsi="仿宋_GB2312" w:cs="仿宋_GB2312" w:hint="eastAsia"/>
          <w:color w:val="000000"/>
          <w:sz w:val="32"/>
          <w:szCs w:val="32"/>
        </w:rPr>
        <w:t>IP</w:t>
      </w:r>
      <w:r>
        <w:rPr>
          <w:rFonts w:ascii="仿宋_GB2312" w:eastAsia="仿宋_GB2312" w:hAnsi="仿宋_GB2312" w:cs="仿宋_GB2312" w:hint="eastAsia"/>
          <w:color w:val="000000"/>
          <w:sz w:val="32"/>
          <w:szCs w:val="32"/>
        </w:rPr>
        <w:t>地址、域名等互联网基础资源管理及国际协调，推动</w:t>
      </w:r>
      <w:r>
        <w:rPr>
          <w:rFonts w:ascii="仿宋_GB2312" w:eastAsia="仿宋_GB2312" w:hAnsi="仿宋_GB2312" w:cs="仿宋_GB2312" w:hint="eastAsia"/>
          <w:color w:val="000000"/>
          <w:sz w:val="32"/>
          <w:szCs w:val="32"/>
        </w:rPr>
        <w:t>IPv6</w:t>
      </w:r>
      <w:r>
        <w:rPr>
          <w:rFonts w:ascii="仿宋_GB2312" w:eastAsia="仿宋_GB2312" w:hAnsi="仿宋_GB2312" w:cs="仿宋_GB2312" w:hint="eastAsia"/>
          <w:color w:val="000000"/>
          <w:sz w:val="32"/>
          <w:szCs w:val="32"/>
        </w:rPr>
        <w:t>地址申请，合理规划使用</w:t>
      </w:r>
      <w:r>
        <w:rPr>
          <w:rFonts w:ascii="仿宋_GB2312" w:eastAsia="仿宋_GB2312" w:hAnsi="仿宋_GB2312" w:cs="仿宋_GB2312" w:hint="eastAsia"/>
          <w:color w:val="000000"/>
          <w:sz w:val="32"/>
          <w:szCs w:val="32"/>
        </w:rPr>
        <w:t>IPv6</w:t>
      </w:r>
      <w:r>
        <w:rPr>
          <w:rFonts w:ascii="仿宋_GB2312" w:eastAsia="仿宋_GB2312" w:hAnsi="仿宋_GB2312" w:cs="仿宋_GB2312" w:hint="eastAsia"/>
          <w:color w:val="000000"/>
          <w:sz w:val="32"/>
          <w:szCs w:val="32"/>
        </w:rPr>
        <w:t>地址，探索建立域名从业机构信用记录制度，鼓励域名创新应用，推动“</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CN</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中国”等国家顶级域名和中文域名的推广和应用。</w:t>
      </w:r>
    </w:p>
    <w:p w:rsidR="00DA02B9" w:rsidRDefault="003229D3">
      <w:pPr>
        <w:pStyle w:val="3"/>
        <w:ind w:firstLine="643"/>
      </w:pPr>
      <w:bookmarkStart w:id="135" w:name="_Toc3960"/>
      <w:bookmarkStart w:id="136" w:name="_Toc452557660"/>
      <w:bookmarkStart w:id="137" w:name="_Toc451533450"/>
      <w:bookmarkStart w:id="138" w:name="_Toc22240"/>
      <w:bookmarkStart w:id="139" w:name="_Toc17514"/>
      <w:r>
        <w:rPr>
          <w:rFonts w:hint="eastAsia"/>
        </w:rPr>
        <w:t xml:space="preserve">4. </w:t>
      </w:r>
      <w:r>
        <w:rPr>
          <w:rFonts w:hint="eastAsia"/>
        </w:rPr>
        <w:t>加强大数据资源应用和管理</w:t>
      </w:r>
      <w:bookmarkEnd w:id="135"/>
      <w:bookmarkEnd w:id="136"/>
      <w:bookmarkEnd w:id="137"/>
      <w:bookmarkEnd w:id="138"/>
      <w:bookmarkEnd w:id="139"/>
    </w:p>
    <w:p w:rsidR="00DA02B9" w:rsidRDefault="003229D3">
      <w:pPr>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加强大数据标准顶层设计，建立并完善涵盖基础、技术、产品、平台、应用、交易和管理的大数据标准体系。建立大数据管理制度，明确数据采集、传输、存储、使用、开放等各环节的范围边界、责任主体和具体要求，保障高效可信应用。推动政府信息系统和公共数据互联开放共享，依法推进数据资源向社会开放。支持电信和互联网企业在保障数据安全和个人隐私的前提下，提供数据资源与分析能力，支撑公共安全、城市管理、市场监管等社会管理，以及交通、旅游、医疗等</w:t>
      </w:r>
      <w:r>
        <w:rPr>
          <w:rFonts w:ascii="仿宋_GB2312" w:eastAsia="仿宋_GB2312" w:hAnsi="仿宋_GB2312" w:cs="仿宋_GB2312" w:hint="eastAsia"/>
          <w:color w:val="000000"/>
          <w:sz w:val="32"/>
          <w:szCs w:val="32"/>
        </w:rPr>
        <w:t>民生服务领域跨界应用。</w:t>
      </w:r>
    </w:p>
    <w:p w:rsidR="00DA02B9" w:rsidRDefault="003229D3">
      <w:pPr>
        <w:pStyle w:val="3"/>
        <w:ind w:firstLine="643"/>
      </w:pPr>
      <w:bookmarkStart w:id="140" w:name="_Toc448130295"/>
      <w:bookmarkStart w:id="141" w:name="_Toc8639"/>
      <w:bookmarkStart w:id="142" w:name="_Toc451533451"/>
      <w:bookmarkStart w:id="143" w:name="_Toc8977"/>
      <w:bookmarkStart w:id="144" w:name="_Toc6742"/>
      <w:bookmarkStart w:id="145" w:name="_Toc452557661"/>
      <w:bookmarkStart w:id="146" w:name="_Toc448845035"/>
      <w:bookmarkEnd w:id="140"/>
      <w:r>
        <w:rPr>
          <w:rFonts w:hint="eastAsia"/>
        </w:rPr>
        <w:lastRenderedPageBreak/>
        <w:t xml:space="preserve">5. </w:t>
      </w:r>
      <w:r>
        <w:rPr>
          <w:rFonts w:hint="eastAsia"/>
        </w:rPr>
        <w:t>持续深化电信行业改革</w:t>
      </w:r>
      <w:bookmarkEnd w:id="141"/>
      <w:bookmarkEnd w:id="142"/>
      <w:bookmarkEnd w:id="143"/>
      <w:bookmarkEnd w:id="144"/>
      <w:bookmarkEnd w:id="145"/>
    </w:p>
    <w:p w:rsidR="00DA02B9" w:rsidRDefault="003229D3">
      <w:pPr>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sz w:val="32"/>
          <w:szCs w:val="32"/>
        </w:rPr>
        <w:t>探索和创新网络建设模式，加强顶层设计。推动信息通信和能源、交通等领域基础设施的共建共享。充分发挥铁塔公司在基础设施建设领域的重要作用，遵从市场规律，建立标准化、规范化流程和发展机制，提升共建共享水平。</w:t>
      </w:r>
      <w:r>
        <w:rPr>
          <w:rFonts w:ascii="仿宋_GB2312" w:eastAsia="仿宋_GB2312" w:hAnsi="仿宋_GB2312" w:cs="仿宋_GB2312" w:hint="eastAsia"/>
          <w:color w:val="000000"/>
          <w:kern w:val="0"/>
          <w:sz w:val="32"/>
          <w:szCs w:val="32"/>
        </w:rPr>
        <w:t>支持基础电</w:t>
      </w:r>
      <w:r>
        <w:rPr>
          <w:rFonts w:ascii="仿宋_GB2312" w:eastAsia="仿宋_GB2312" w:hAnsi="仿宋_GB2312" w:cs="仿宋_GB2312" w:hint="eastAsia"/>
          <w:color w:val="000000"/>
          <w:sz w:val="32"/>
          <w:szCs w:val="32"/>
        </w:rPr>
        <w:t>信企业在资源共享、网络共建以及业务协同等领域深化合作和创新。积极推动广电、电信业务双向进入，</w:t>
      </w:r>
      <w:r>
        <w:rPr>
          <w:rFonts w:ascii="仿宋_GB2312" w:eastAsia="仿宋_GB2312" w:hAnsi="仿宋_GB2312" w:cs="仿宋_GB2312" w:hint="eastAsia"/>
          <w:color w:val="000000"/>
          <w:kern w:val="0"/>
          <w:sz w:val="32"/>
          <w:szCs w:val="32"/>
        </w:rPr>
        <w:t>推进三网融合进程。加大移动转售、宽带接入网等基础电信领域竞争性业务的开放力度</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hint="eastAsia"/>
          <w:color w:val="000000"/>
          <w:kern w:val="0"/>
          <w:sz w:val="32"/>
          <w:szCs w:val="32"/>
        </w:rPr>
        <w:t>通过市场竞争促进企业提升宽带服务质量，进一步降低电信资费水平</w:t>
      </w:r>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hint="eastAsia"/>
          <w:color w:val="000000"/>
          <w:kern w:val="0"/>
          <w:sz w:val="32"/>
          <w:szCs w:val="32"/>
        </w:rPr>
        <w:t>提高电信业务性价比。</w:t>
      </w:r>
      <w:r>
        <w:rPr>
          <w:rFonts w:ascii="仿宋_GB2312" w:eastAsia="仿宋_GB2312" w:hAnsi="仿宋_GB2312" w:cs="仿宋_GB2312" w:hint="eastAsia"/>
          <w:color w:val="000000"/>
          <w:sz w:val="32"/>
          <w:szCs w:val="32"/>
        </w:rPr>
        <w:t>积极推动电信领域混合所有制改革进程，有序引导电信市场协调发展，</w:t>
      </w:r>
      <w:r>
        <w:rPr>
          <w:rFonts w:ascii="仿宋_GB2312" w:eastAsia="仿宋_GB2312" w:hAnsi="仿宋_GB2312" w:cs="仿宋_GB2312" w:hint="eastAsia"/>
          <w:color w:val="000000"/>
          <w:kern w:val="0"/>
          <w:sz w:val="32"/>
          <w:szCs w:val="32"/>
        </w:rPr>
        <w:t>鼓励民间资本通过多种形式参与信息通信业投融资，</w:t>
      </w:r>
      <w:r>
        <w:rPr>
          <w:rFonts w:ascii="仿宋_GB2312" w:eastAsia="仿宋_GB2312" w:hAnsi="仿宋_GB2312" w:cs="仿宋_GB2312" w:hint="eastAsia"/>
          <w:color w:val="000000"/>
          <w:sz w:val="32"/>
          <w:szCs w:val="32"/>
        </w:rPr>
        <w:t>激发非公有制经济和小微企业的活力与创造力。积极推动优化对企业的考核机制，综合考虑企业承担社会责任的考核指标和经营效益的考核指标。</w:t>
      </w:r>
      <w:r>
        <w:rPr>
          <w:rFonts w:ascii="仿宋_GB2312" w:eastAsia="仿宋_GB2312" w:hAnsi="仿宋_GB2312" w:cs="仿宋_GB2312" w:hint="eastAsia"/>
          <w:color w:val="000000"/>
          <w:kern w:val="0"/>
          <w:sz w:val="32"/>
          <w:szCs w:val="32"/>
        </w:rPr>
        <w:t>总结推广上海自贸区开放试点经验，探索完善外资准入“负面清单”管理模式。</w:t>
      </w:r>
    </w:p>
    <w:p w:rsidR="00DA02B9" w:rsidRDefault="003229D3">
      <w:pPr>
        <w:pStyle w:val="2"/>
        <w:spacing w:before="0" w:after="0" w:line="240" w:lineRule="auto"/>
        <w:ind w:left="640"/>
        <w:rPr>
          <w:rFonts w:ascii="楷体_GB2312" w:eastAsia="楷体_GB2312" w:hAnsi="楷体_GB2312" w:cs="楷体_GB2312"/>
          <w:bCs w:val="0"/>
          <w:color w:val="000000"/>
        </w:rPr>
      </w:pPr>
      <w:bookmarkStart w:id="147" w:name="_Toc576"/>
      <w:bookmarkStart w:id="148" w:name="_Toc451533452"/>
      <w:bookmarkStart w:id="149" w:name="_Toc452557662"/>
      <w:bookmarkStart w:id="150" w:name="_Toc5143"/>
      <w:bookmarkStart w:id="151" w:name="_Toc30885"/>
      <w:r>
        <w:rPr>
          <w:rFonts w:ascii="楷体_GB2312" w:eastAsia="楷体_GB2312" w:hAnsi="楷体_GB2312" w:cs="楷体_GB2312" w:hint="eastAsia"/>
          <w:bCs w:val="0"/>
          <w:color w:val="000000"/>
        </w:rPr>
        <w:t>（四）强化安全保障</w:t>
      </w:r>
      <w:bookmarkEnd w:id="147"/>
      <w:bookmarkEnd w:id="148"/>
      <w:bookmarkEnd w:id="149"/>
      <w:bookmarkEnd w:id="150"/>
      <w:bookmarkEnd w:id="151"/>
    </w:p>
    <w:p w:rsidR="00DA02B9" w:rsidRDefault="003229D3">
      <w:pPr>
        <w:pStyle w:val="3"/>
        <w:ind w:firstLine="643"/>
      </w:pPr>
      <w:bookmarkStart w:id="152" w:name="_Toc452557663"/>
      <w:bookmarkStart w:id="153" w:name="_Toc448845036"/>
      <w:bookmarkStart w:id="154" w:name="_Toc7427"/>
      <w:bookmarkStart w:id="155" w:name="_Toc22865"/>
      <w:bookmarkStart w:id="156" w:name="_Toc10799"/>
      <w:bookmarkStart w:id="157" w:name="_Toc451533453"/>
      <w:bookmarkEnd w:id="146"/>
      <w:r>
        <w:rPr>
          <w:rFonts w:hint="eastAsia"/>
        </w:rPr>
        <w:t xml:space="preserve">1. </w:t>
      </w:r>
      <w:r>
        <w:rPr>
          <w:rFonts w:hint="eastAsia"/>
        </w:rPr>
        <w:t>完善网络与信息安全监管体系</w:t>
      </w:r>
      <w:bookmarkEnd w:id="152"/>
    </w:p>
    <w:p w:rsidR="00DA02B9" w:rsidRDefault="003229D3">
      <w:pPr>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适应互联网业务创新发展趋势，把安全监管作为行业监管的重要内容加以落实，调整完善安全监管模式，强化安全责任考核、安全评估、监督检查、</w:t>
      </w:r>
      <w:r>
        <w:rPr>
          <w:rFonts w:ascii="仿宋_GB2312" w:eastAsia="仿宋_GB2312" w:hAnsi="仿宋_GB2312" w:cs="仿宋_GB2312" w:hint="eastAsia"/>
          <w:color w:val="000000"/>
          <w:sz w:val="32"/>
          <w:szCs w:val="32"/>
        </w:rPr>
        <w:t>市场退出等事中事后管理，构建全周期安全管理链条。加强电信业务开放情况下的网络</w:t>
      </w:r>
      <w:r>
        <w:rPr>
          <w:rFonts w:ascii="仿宋_GB2312" w:eastAsia="仿宋_GB2312" w:hAnsi="仿宋_GB2312" w:cs="仿宋_GB2312" w:hint="eastAsia"/>
          <w:color w:val="000000"/>
          <w:sz w:val="32"/>
          <w:szCs w:val="32"/>
        </w:rPr>
        <w:lastRenderedPageBreak/>
        <w:t>与信息安全风险控制，加强移动转售、宽带接入网等向民资开放领域的网络与信息安全管理。进一步理顺行业安全管理工作体制机制，不断完善跨部门、跨省协同机制，推动建立流程清晰、高效顺畅的联动机制。突出抓好网络与信息安全责任体系建设，进一步明确基础电信企业、互联网企业、设备厂商、安全企业等各类主体的安全责任，形成覆盖信息通信行业全产业链条的安全责任体系，推动建立重大网络与信息安全事件责任主体负责制。</w:t>
      </w:r>
    </w:p>
    <w:p w:rsidR="00DA02B9" w:rsidRDefault="003229D3">
      <w:pPr>
        <w:pStyle w:val="3"/>
        <w:ind w:firstLine="643"/>
      </w:pPr>
      <w:bookmarkStart w:id="158" w:name="_Toc452557664"/>
      <w:r>
        <w:rPr>
          <w:rFonts w:hint="eastAsia"/>
        </w:rPr>
        <w:t xml:space="preserve">2. </w:t>
      </w:r>
      <w:r>
        <w:rPr>
          <w:rFonts w:hint="eastAsia"/>
        </w:rPr>
        <w:t>加强网络基础设施安全防护</w:t>
      </w:r>
      <w:bookmarkEnd w:id="158"/>
    </w:p>
    <w:p w:rsidR="00DA02B9" w:rsidRDefault="003229D3">
      <w:pPr>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建立健全分级</w:t>
      </w:r>
      <w:r>
        <w:rPr>
          <w:rFonts w:ascii="仿宋_GB2312" w:eastAsia="仿宋_GB2312" w:hAnsi="仿宋_GB2312" w:cs="仿宋_GB2312" w:hint="eastAsia"/>
          <w:color w:val="000000"/>
          <w:sz w:val="32"/>
          <w:szCs w:val="32"/>
        </w:rPr>
        <w:t>保护、动态调整的网络基础设施安全保护体系。强化互联网企业的网络安全管理，加强针对云计算、物联网等新兴重点领域的网络安全防护。落实国家网络安全审查制度，稳妥组织开展行业网络安全审查工作。持续面向基础电信企业、互联网企业、安全企业等开展网络安全试点示范工作。依托安全保障能力提升工程，指导推动企业加强网络安全态势感知能力建设，强化政府、企业和行业力量安全监测数据共享联动，利用大数据技术加强关联分析，提升全局性、整体化态势感知能力。完善互联网安全监测与处置机制，加强日常网络安全事件的处置通报，建立健全钓鱼网站监测与</w:t>
      </w:r>
      <w:r>
        <w:rPr>
          <w:rFonts w:ascii="仿宋_GB2312" w:eastAsia="仿宋_GB2312" w:hAnsi="仿宋_GB2312" w:cs="仿宋_GB2312" w:hint="eastAsia"/>
          <w:color w:val="000000"/>
          <w:sz w:val="32"/>
          <w:szCs w:val="32"/>
        </w:rPr>
        <w:t>处置机制，加强木马病毒样本库、移动恶意程序样本库、漏洞库等建设，提高及时发现和有效识别安全威胁的能力。构建政府、企业、用户等之间的安全威胁信息共享机</w:t>
      </w:r>
      <w:r>
        <w:rPr>
          <w:rFonts w:ascii="仿宋_GB2312" w:eastAsia="仿宋_GB2312" w:hAnsi="仿宋_GB2312" w:cs="仿宋_GB2312" w:hint="eastAsia"/>
          <w:color w:val="000000"/>
          <w:sz w:val="32"/>
          <w:szCs w:val="32"/>
        </w:rPr>
        <w:lastRenderedPageBreak/>
        <w:t>制。深入推进移动恶意程序治理等网络威胁治理专项活动，构建可信网络环境。</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2"/>
      </w:tblGrid>
      <w:tr w:rsidR="00DA02B9">
        <w:tc>
          <w:tcPr>
            <w:tcW w:w="8522" w:type="dxa"/>
            <w:tcBorders>
              <w:top w:val="single" w:sz="4" w:space="0" w:color="auto"/>
              <w:left w:val="single" w:sz="4" w:space="0" w:color="auto"/>
              <w:bottom w:val="single" w:sz="4" w:space="0" w:color="auto"/>
              <w:right w:val="single" w:sz="4" w:space="0" w:color="auto"/>
            </w:tcBorders>
          </w:tcPr>
          <w:p w:rsidR="00DA02B9" w:rsidRDefault="003229D3">
            <w:pPr>
              <w:spacing w:line="440" w:lineRule="exact"/>
              <w:jc w:val="center"/>
              <w:rPr>
                <w:rFonts w:ascii="宋体" w:hAnsi="宋体" w:cs="宋体"/>
                <w:b/>
                <w:color w:val="000000"/>
                <w:sz w:val="24"/>
                <w:szCs w:val="24"/>
              </w:rPr>
            </w:pPr>
            <w:r>
              <w:rPr>
                <w:rFonts w:ascii="宋体" w:hAnsi="宋体" w:cs="宋体" w:hint="eastAsia"/>
                <w:b/>
                <w:color w:val="000000"/>
                <w:sz w:val="24"/>
                <w:szCs w:val="24"/>
              </w:rPr>
              <w:t>专栏</w:t>
            </w:r>
            <w:r>
              <w:rPr>
                <w:rFonts w:ascii="宋体" w:hAnsi="宋体" w:cs="宋体" w:hint="eastAsia"/>
                <w:b/>
                <w:color w:val="000000"/>
                <w:sz w:val="24"/>
                <w:szCs w:val="24"/>
              </w:rPr>
              <w:t>10</w:t>
            </w:r>
            <w:r>
              <w:rPr>
                <w:rFonts w:ascii="宋体" w:hAnsi="宋体" w:cs="宋体" w:hint="eastAsia"/>
                <w:b/>
                <w:color w:val="000000"/>
                <w:sz w:val="24"/>
                <w:szCs w:val="24"/>
              </w:rPr>
              <w:t>：安全保障能力提升工程</w:t>
            </w:r>
          </w:p>
          <w:p w:rsidR="00DA02B9" w:rsidRDefault="003229D3" w:rsidP="00881FE9">
            <w:pPr>
              <w:spacing w:line="440" w:lineRule="exact"/>
              <w:ind w:firstLineChars="175" w:firstLine="422"/>
              <w:rPr>
                <w:rFonts w:ascii="宋体" w:hAnsi="宋体" w:cs="宋体"/>
                <w:color w:val="000000"/>
                <w:sz w:val="24"/>
                <w:szCs w:val="24"/>
              </w:rPr>
            </w:pPr>
            <w:r>
              <w:rPr>
                <w:rFonts w:ascii="宋体" w:hAnsi="宋体" w:cs="宋体" w:hint="eastAsia"/>
                <w:b/>
                <w:color w:val="000000"/>
                <w:sz w:val="24"/>
                <w:szCs w:val="24"/>
              </w:rPr>
              <w:t>工程目标</w:t>
            </w:r>
            <w:r>
              <w:rPr>
                <w:rFonts w:ascii="宋体" w:hAnsi="宋体" w:cs="宋体" w:hint="eastAsia"/>
                <w:color w:val="000000"/>
                <w:sz w:val="24"/>
                <w:szCs w:val="24"/>
              </w:rPr>
              <w:t>：推动网络与信息安全技术保障能力建设，提升网络安全保障水平。</w:t>
            </w:r>
          </w:p>
          <w:p w:rsidR="00DA02B9" w:rsidRDefault="003229D3" w:rsidP="00881FE9">
            <w:pPr>
              <w:spacing w:line="440" w:lineRule="exact"/>
              <w:ind w:firstLineChars="175" w:firstLine="422"/>
              <w:rPr>
                <w:rFonts w:ascii="仿宋_GB2312" w:eastAsia="仿宋_GB2312" w:hAnsi="仿宋_GB2312" w:cs="仿宋_GB2312"/>
                <w:color w:val="000000"/>
                <w:sz w:val="24"/>
                <w:szCs w:val="24"/>
              </w:rPr>
            </w:pPr>
            <w:r>
              <w:rPr>
                <w:rFonts w:ascii="宋体" w:hAnsi="宋体" w:cs="宋体" w:hint="eastAsia"/>
                <w:b/>
                <w:color w:val="000000"/>
                <w:sz w:val="24"/>
                <w:szCs w:val="24"/>
              </w:rPr>
              <w:t>工程内容</w:t>
            </w:r>
            <w:r>
              <w:rPr>
                <w:rFonts w:ascii="宋体" w:hAnsi="宋体" w:cs="宋体" w:hint="eastAsia"/>
                <w:color w:val="000000"/>
                <w:sz w:val="24"/>
                <w:szCs w:val="24"/>
              </w:rPr>
              <w:t>：建设基于骨干网的网络安全威胁监测处置平台，实现网络安全威胁监测、态势感知、应急处置、追踪溯源等能力。实施域名系统安全保障工程，提升公共递归域名解析系统的安全防护和数据备份能力。建设互联网网络安全应急管理平台，提高对互联网网络安全威胁信息和监测数据的分析、研判和行业内应急指挥调度能力。</w:t>
            </w:r>
          </w:p>
        </w:tc>
      </w:tr>
    </w:tbl>
    <w:p w:rsidR="00DA02B9" w:rsidRDefault="003229D3">
      <w:pPr>
        <w:pStyle w:val="3"/>
        <w:ind w:firstLine="643"/>
      </w:pPr>
      <w:bookmarkStart w:id="159" w:name="_Toc452557665"/>
      <w:r>
        <w:rPr>
          <w:rFonts w:hint="eastAsia"/>
        </w:rPr>
        <w:t xml:space="preserve">3. </w:t>
      </w:r>
      <w:r>
        <w:rPr>
          <w:rFonts w:hint="eastAsia"/>
        </w:rPr>
        <w:t>强化网络数据安全管理</w:t>
      </w:r>
      <w:bookmarkEnd w:id="159"/>
    </w:p>
    <w:p w:rsidR="00DA02B9" w:rsidRDefault="003229D3">
      <w:pPr>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制定出台信息通信业数据安全指导性文件，实行网络数据资源分类分级管理，保障安全高效可信应用。加强数据资源的安全保护，明确行业数据开放共享利用和跨境流动场景下的安全保护策略。制定数据安全评估相关标准</w:t>
      </w:r>
      <w:r>
        <w:rPr>
          <w:rFonts w:ascii="仿宋_GB2312" w:eastAsia="仿宋_GB2312" w:hAnsi="仿宋_GB2312" w:cs="仿宋_GB2312" w:hint="eastAsia"/>
          <w:color w:val="000000"/>
          <w:sz w:val="32"/>
          <w:szCs w:val="32"/>
        </w:rPr>
        <w:t>，建立健全敏感数据操作审计等工作机制，构建国家和地方、政府和企业相互配合的新型数据保护管理体系。加强企业数据安全监管，推进企业数据保护技术手段建设，规范企业数据合作。强化大数据场景下的网络用户个人信息保护能力，通过安全管理和技术措施有效防止用户个人信息泄露、损毁和非法利用，督促电信和互联网企业切实落实用户个人信息保护责任。建立完善数据与个人信息泄露公告和报告机制，督促企业及时组织自查，排查安全隐患，公示处置情况，消除安全风险。</w:t>
      </w:r>
    </w:p>
    <w:p w:rsidR="00DA02B9" w:rsidRDefault="003229D3">
      <w:pPr>
        <w:pStyle w:val="3"/>
        <w:ind w:firstLine="643"/>
      </w:pPr>
      <w:bookmarkStart w:id="160" w:name="_Toc452557666"/>
      <w:r>
        <w:rPr>
          <w:rFonts w:hint="eastAsia"/>
        </w:rPr>
        <w:t xml:space="preserve">4. </w:t>
      </w:r>
      <w:r>
        <w:rPr>
          <w:rFonts w:hint="eastAsia"/>
        </w:rPr>
        <w:t>强化网络与信息安全应急管理</w:t>
      </w:r>
      <w:bookmarkEnd w:id="160"/>
    </w:p>
    <w:p w:rsidR="00DA02B9" w:rsidRDefault="003229D3">
      <w:pPr>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完善网络与信息安全应急管理体系，推进应急机制、</w:t>
      </w:r>
      <w:r>
        <w:rPr>
          <w:rFonts w:ascii="仿宋_GB2312" w:eastAsia="仿宋_GB2312" w:hAnsi="仿宋_GB2312" w:cs="仿宋_GB2312" w:hint="eastAsia"/>
          <w:color w:val="000000"/>
          <w:sz w:val="32"/>
          <w:szCs w:val="32"/>
        </w:rPr>
        <w:t>应</w:t>
      </w:r>
      <w:r>
        <w:rPr>
          <w:rFonts w:ascii="仿宋_GB2312" w:eastAsia="仿宋_GB2312" w:hAnsi="仿宋_GB2312" w:cs="仿宋_GB2312" w:hint="eastAsia"/>
          <w:color w:val="000000"/>
          <w:sz w:val="32"/>
          <w:szCs w:val="32"/>
        </w:rPr>
        <w:lastRenderedPageBreak/>
        <w:t>急制度、应急标准建设，提升网络与信息安全突发事件的制度化响应、规范化处置和程序化水平。强化公共互联网网络安全应急管理，修订完善应急预案，健全政府统一指挥、企业和支撑单位等广泛参与的网络安全应急响应协同处置机制。加强行业内和跨行业的网络安全应急演练。全力做好网络反恐和重大活动网络信息安全保障，坚决维护国家安全和社会稳定。</w:t>
      </w:r>
    </w:p>
    <w:p w:rsidR="00DA02B9" w:rsidRDefault="003229D3">
      <w:pPr>
        <w:pStyle w:val="3"/>
        <w:ind w:firstLine="643"/>
      </w:pPr>
      <w:bookmarkStart w:id="161" w:name="_Toc452557667"/>
      <w:r>
        <w:rPr>
          <w:rFonts w:hint="eastAsia"/>
        </w:rPr>
        <w:t xml:space="preserve">5. </w:t>
      </w:r>
      <w:r>
        <w:rPr>
          <w:rFonts w:hint="eastAsia"/>
        </w:rPr>
        <w:t>加强应急通信保障能力</w:t>
      </w:r>
      <w:bookmarkEnd w:id="153"/>
      <w:r>
        <w:rPr>
          <w:rFonts w:hint="eastAsia"/>
        </w:rPr>
        <w:t>建设</w:t>
      </w:r>
      <w:bookmarkEnd w:id="154"/>
      <w:bookmarkEnd w:id="155"/>
      <w:bookmarkEnd w:id="156"/>
      <w:bookmarkEnd w:id="157"/>
      <w:bookmarkEnd w:id="161"/>
    </w:p>
    <w:p w:rsidR="00DA02B9" w:rsidRDefault="003229D3">
      <w:pPr>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着力提升应急通信网络能力，统筹空间与地面、公网与共用应急通信专网的建设，加强新技术新业务在应急通信中的应用，满足公共安全体系中安全生产、防灾减灾、治安防控、</w:t>
      </w:r>
      <w:r>
        <w:rPr>
          <w:rFonts w:ascii="仿宋_GB2312" w:eastAsia="仿宋_GB2312" w:hAnsi="仿宋_GB2312" w:cs="仿宋_GB2312" w:hint="eastAsia"/>
          <w:color w:val="000000"/>
          <w:sz w:val="32"/>
          <w:szCs w:val="32"/>
        </w:rPr>
        <w:t>突发事件应对等方面对信息通信服务和保障的要求。统筹各相关部门、各级政府、基础电信企业等各方的应急通信指挥手段和系统建设，鼓励互联网企业发挥资源优势提供灾害预警等应急通信服务，推动指挥系统间互联互通，统筹应急物资、卫星资源、空中平台等相关资源的动态管理和有效配置。加强灾害多发省份装备的差异化配置，构建国家与地方、政府与企业、实物与生产储备相结合的物资储备体系。加强应急通信保障队伍的人员配备和布局，加强培训演练和安全防护措施。加强应急通信科研支撑体系建设，加快标准制订，支持创新技术应用，推动应急通信产业发展。</w:t>
      </w:r>
    </w:p>
    <w:p w:rsidR="00DA02B9" w:rsidRDefault="00DA02B9">
      <w:pPr>
        <w:rPr>
          <w:rFonts w:ascii="仿宋_GB2312" w:eastAsia="仿宋_GB2312" w:hAnsi="仿宋_GB2312" w:cs="仿宋_GB2312"/>
          <w:color w:val="000000"/>
          <w:sz w:val="32"/>
          <w:szCs w:val="32"/>
        </w:rPr>
      </w:pP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2"/>
      </w:tblGrid>
      <w:tr w:rsidR="00DA02B9">
        <w:tc>
          <w:tcPr>
            <w:tcW w:w="8522" w:type="dxa"/>
            <w:tcBorders>
              <w:top w:val="single" w:sz="4" w:space="0" w:color="auto"/>
              <w:left w:val="single" w:sz="4" w:space="0" w:color="auto"/>
              <w:bottom w:val="single" w:sz="4" w:space="0" w:color="auto"/>
              <w:right w:val="single" w:sz="4" w:space="0" w:color="auto"/>
            </w:tcBorders>
          </w:tcPr>
          <w:p w:rsidR="00DA02B9" w:rsidRDefault="003229D3">
            <w:pPr>
              <w:spacing w:line="440" w:lineRule="exact"/>
              <w:jc w:val="center"/>
              <w:rPr>
                <w:rFonts w:ascii="宋体" w:hAnsi="宋体" w:cs="宋体"/>
                <w:b/>
                <w:color w:val="000000"/>
                <w:sz w:val="24"/>
                <w:szCs w:val="24"/>
              </w:rPr>
            </w:pPr>
            <w:r>
              <w:rPr>
                <w:rFonts w:ascii="宋体" w:hAnsi="宋体" w:cs="宋体" w:hint="eastAsia"/>
                <w:b/>
                <w:color w:val="000000"/>
                <w:sz w:val="24"/>
                <w:szCs w:val="24"/>
              </w:rPr>
              <w:lastRenderedPageBreak/>
              <w:t>专栏</w:t>
            </w:r>
            <w:r>
              <w:rPr>
                <w:rFonts w:ascii="宋体" w:hAnsi="宋体" w:cs="宋体" w:hint="eastAsia"/>
                <w:b/>
                <w:color w:val="000000"/>
                <w:sz w:val="24"/>
                <w:szCs w:val="24"/>
              </w:rPr>
              <w:t>11</w:t>
            </w:r>
            <w:r>
              <w:rPr>
                <w:rFonts w:ascii="宋体" w:hAnsi="宋体" w:cs="宋体" w:hint="eastAsia"/>
                <w:b/>
                <w:color w:val="000000"/>
                <w:sz w:val="24"/>
                <w:szCs w:val="24"/>
              </w:rPr>
              <w:t>：国家应急通信能力提升工程</w:t>
            </w:r>
          </w:p>
          <w:p w:rsidR="00DA02B9" w:rsidRDefault="003229D3" w:rsidP="00881FE9">
            <w:pPr>
              <w:spacing w:line="440" w:lineRule="exact"/>
              <w:ind w:firstLineChars="175" w:firstLine="422"/>
              <w:rPr>
                <w:rFonts w:ascii="宋体" w:hAnsi="宋体" w:cs="宋体"/>
                <w:b/>
                <w:color w:val="000000"/>
                <w:sz w:val="24"/>
                <w:szCs w:val="24"/>
              </w:rPr>
            </w:pPr>
            <w:r>
              <w:rPr>
                <w:rFonts w:ascii="宋体" w:hAnsi="宋体" w:cs="宋体" w:hint="eastAsia"/>
                <w:b/>
                <w:color w:val="000000"/>
                <w:sz w:val="24"/>
                <w:szCs w:val="24"/>
              </w:rPr>
              <w:t>工程目标：</w:t>
            </w:r>
            <w:r>
              <w:rPr>
                <w:rFonts w:ascii="宋体" w:hAnsi="宋体" w:cs="宋体" w:hint="eastAsia"/>
                <w:color w:val="000000"/>
                <w:sz w:val="24"/>
                <w:szCs w:val="24"/>
              </w:rPr>
              <w:t>加强指挥调度、应急网络、装备储备等能力建设，推进试点支撑，全面提升国家应急通信保障能力。</w:t>
            </w:r>
          </w:p>
          <w:p w:rsidR="00DA02B9" w:rsidRDefault="003229D3" w:rsidP="00881FE9">
            <w:pPr>
              <w:spacing w:line="440" w:lineRule="exact"/>
              <w:ind w:firstLineChars="175" w:firstLine="422"/>
              <w:rPr>
                <w:rFonts w:ascii="仿宋_GB2312" w:eastAsia="仿宋_GB2312" w:hAnsi="仿宋_GB2312" w:cs="仿宋_GB2312"/>
                <w:color w:val="000000"/>
                <w:sz w:val="24"/>
                <w:szCs w:val="24"/>
              </w:rPr>
            </w:pPr>
            <w:r>
              <w:rPr>
                <w:rFonts w:ascii="宋体" w:hAnsi="宋体" w:cs="宋体" w:hint="eastAsia"/>
                <w:b/>
                <w:color w:val="000000"/>
                <w:sz w:val="24"/>
                <w:szCs w:val="24"/>
              </w:rPr>
              <w:t>工程内容：</w:t>
            </w:r>
            <w:r>
              <w:rPr>
                <w:rFonts w:ascii="宋体" w:hAnsi="宋体" w:cs="宋体" w:hint="eastAsia"/>
                <w:color w:val="000000"/>
                <w:sz w:val="24"/>
                <w:szCs w:val="24"/>
              </w:rPr>
              <w:t>一是提升指挥调度能力，实现地方指挥系统与通信网指挥平台联通，完成灾害多发地区县、乡基层政府部门自主卫星移动终端配置，建设“互联网</w:t>
            </w:r>
            <w:r>
              <w:rPr>
                <w:rFonts w:ascii="宋体" w:hAnsi="宋体" w:cs="宋体" w:hint="eastAsia"/>
                <w:color w:val="000000"/>
                <w:sz w:val="24"/>
                <w:szCs w:val="24"/>
              </w:rPr>
              <w:t>+</w:t>
            </w:r>
            <w:r>
              <w:rPr>
                <w:rFonts w:ascii="宋体" w:hAnsi="宋体" w:cs="宋体" w:hint="eastAsia"/>
                <w:color w:val="000000"/>
                <w:sz w:val="24"/>
                <w:szCs w:val="24"/>
              </w:rPr>
              <w:t>应急通信”指挥调度及服务云平台。二是完善应急网络建设，依托公网建设公共信息快速手机预警短信发布系统，推进抗灾超级基站、基础设施设备与防灾应急相关的安全防护建设，依托国家空间基础设施和卫星移动通信系统构建应急专用卫星通信网络。三是加强装</w:t>
            </w:r>
            <w:r>
              <w:rPr>
                <w:rFonts w:ascii="宋体" w:hAnsi="宋体" w:cs="宋体" w:hint="eastAsia"/>
                <w:color w:val="000000"/>
                <w:sz w:val="24"/>
                <w:szCs w:val="24"/>
              </w:rPr>
              <w:t>备储备建设，更新完善便携、车</w:t>
            </w:r>
            <w:r>
              <w:rPr>
                <w:rFonts w:ascii="宋体" w:hAnsi="宋体" w:cs="宋体" w:hint="eastAsia"/>
                <w:color w:val="000000"/>
                <w:sz w:val="24"/>
                <w:szCs w:val="24"/>
              </w:rPr>
              <w:t>/</w:t>
            </w:r>
            <w:r>
              <w:rPr>
                <w:rFonts w:ascii="宋体" w:hAnsi="宋体" w:cs="宋体" w:hint="eastAsia"/>
                <w:color w:val="000000"/>
                <w:sz w:val="24"/>
                <w:szCs w:val="24"/>
              </w:rPr>
              <w:t>船</w:t>
            </w:r>
            <w:r>
              <w:rPr>
                <w:rFonts w:ascii="宋体" w:hAnsi="宋体" w:cs="宋体" w:hint="eastAsia"/>
                <w:color w:val="000000"/>
                <w:sz w:val="24"/>
                <w:szCs w:val="24"/>
              </w:rPr>
              <w:t>/</w:t>
            </w:r>
            <w:r>
              <w:rPr>
                <w:rFonts w:ascii="宋体" w:hAnsi="宋体" w:cs="宋体" w:hint="eastAsia"/>
                <w:color w:val="000000"/>
                <w:sz w:val="24"/>
                <w:szCs w:val="24"/>
              </w:rPr>
              <w:t>机载各类应急通信装备、车辆，推进无人机等装备建设试点，构建层次化应急通信储备中心体系，实现重要物资装备的合理储备统一管理。四是推进试点支撑，开展应急宽带集群网络、机动便携装备和互联网应急信息通信技术建设试点，建设国家应急通信技术支撑基地。</w:t>
            </w:r>
          </w:p>
        </w:tc>
      </w:tr>
    </w:tbl>
    <w:p w:rsidR="00DA02B9" w:rsidRDefault="003229D3">
      <w:pPr>
        <w:pStyle w:val="1"/>
        <w:spacing w:before="0" w:after="0" w:line="240" w:lineRule="auto"/>
        <w:ind w:firstLineChars="200" w:firstLine="640"/>
        <w:rPr>
          <w:rFonts w:ascii="黑体" w:eastAsia="黑体" w:hAnsi="黑体" w:cs="黑体"/>
          <w:b w:val="0"/>
          <w:bCs w:val="0"/>
          <w:color w:val="000000"/>
          <w:kern w:val="0"/>
          <w:sz w:val="32"/>
        </w:rPr>
      </w:pPr>
      <w:bookmarkStart w:id="162" w:name="_Toc452557668"/>
      <w:bookmarkStart w:id="163" w:name="_Toc451533455"/>
      <w:bookmarkStart w:id="164" w:name="_Toc21234"/>
      <w:bookmarkStart w:id="165" w:name="_Toc448845038"/>
      <w:bookmarkStart w:id="166" w:name="_Toc26840"/>
      <w:bookmarkStart w:id="167" w:name="_Toc16077"/>
      <w:r>
        <w:rPr>
          <w:rFonts w:ascii="黑体" w:eastAsia="黑体" w:hAnsi="黑体" w:cs="黑体" w:hint="eastAsia"/>
          <w:b w:val="0"/>
          <w:bCs w:val="0"/>
          <w:color w:val="000000"/>
          <w:kern w:val="0"/>
          <w:sz w:val="32"/>
        </w:rPr>
        <w:t>四、保障措施</w:t>
      </w:r>
      <w:bookmarkEnd w:id="162"/>
      <w:bookmarkEnd w:id="163"/>
      <w:bookmarkEnd w:id="164"/>
      <w:bookmarkEnd w:id="165"/>
      <w:bookmarkEnd w:id="166"/>
      <w:bookmarkEnd w:id="167"/>
    </w:p>
    <w:p w:rsidR="00DA02B9" w:rsidRDefault="003229D3">
      <w:pPr>
        <w:pStyle w:val="2"/>
        <w:spacing w:before="0" w:after="0" w:line="240" w:lineRule="auto"/>
        <w:ind w:left="640"/>
        <w:rPr>
          <w:rFonts w:ascii="楷体_GB2312" w:eastAsia="楷体_GB2312" w:hAnsi="楷体_GB2312" w:cs="楷体_GB2312"/>
          <w:bCs w:val="0"/>
          <w:color w:val="000000"/>
        </w:rPr>
      </w:pPr>
      <w:bookmarkStart w:id="168" w:name="_Toc30758"/>
      <w:bookmarkStart w:id="169" w:name="_Toc3247"/>
      <w:bookmarkStart w:id="170" w:name="_Toc452557669"/>
      <w:bookmarkStart w:id="171" w:name="_Toc451533456"/>
      <w:bookmarkStart w:id="172" w:name="_Toc448845039"/>
      <w:bookmarkStart w:id="173" w:name="_Toc3869"/>
      <w:r>
        <w:rPr>
          <w:rFonts w:ascii="楷体_GB2312" w:eastAsia="楷体_GB2312" w:hAnsi="楷体_GB2312" w:cs="楷体_GB2312" w:hint="eastAsia"/>
          <w:bCs w:val="0"/>
          <w:color w:val="000000"/>
        </w:rPr>
        <w:t>（一）加快推进法治建设</w:t>
      </w:r>
      <w:bookmarkEnd w:id="168"/>
      <w:bookmarkEnd w:id="169"/>
      <w:bookmarkEnd w:id="170"/>
      <w:bookmarkEnd w:id="171"/>
      <w:bookmarkEnd w:id="172"/>
      <w:bookmarkEnd w:id="173"/>
    </w:p>
    <w:p w:rsidR="00DA02B9" w:rsidRDefault="003229D3">
      <w:pPr>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加快信息通信业重点领域立法进程。推动《电信法》、《网络安全法》等法律法规立法工作。建立健全信息通信业相关法律制度，进一步规范关键基础设施保护、网络安全、数据跨境流动、个人信息保护、新技术新业务开展、电信业务经营许可和互联网基础资源管理。鼓励地方通信管理局结合各地实际加快推进地方性法规立法进程，并推动健全法制监管体系。提高依法行政意识，强化执法各环节的制度化、规范化、程序化，加强市场秩序监管执法与司法的衔接，提升信息通信业法制化水平。</w:t>
      </w:r>
    </w:p>
    <w:p w:rsidR="00DA02B9" w:rsidRDefault="003229D3">
      <w:pPr>
        <w:pStyle w:val="2"/>
        <w:spacing w:before="0" w:after="0" w:line="240" w:lineRule="auto"/>
        <w:ind w:left="640"/>
        <w:rPr>
          <w:rFonts w:ascii="楷体_GB2312" w:eastAsia="楷体_GB2312" w:hAnsi="楷体_GB2312" w:cs="楷体_GB2312"/>
          <w:bCs w:val="0"/>
          <w:color w:val="000000"/>
        </w:rPr>
      </w:pPr>
      <w:bookmarkStart w:id="174" w:name="_Toc449604298"/>
      <w:bookmarkStart w:id="175" w:name="_Toc449602500"/>
      <w:bookmarkStart w:id="176" w:name="_Toc25352"/>
      <w:bookmarkStart w:id="177" w:name="_Toc451533457"/>
      <w:bookmarkStart w:id="178" w:name="_Toc12012"/>
      <w:bookmarkStart w:id="179" w:name="_Toc23959"/>
      <w:bookmarkStart w:id="180" w:name="_Toc448845040"/>
      <w:bookmarkStart w:id="181" w:name="_Toc452557670"/>
      <w:bookmarkEnd w:id="174"/>
      <w:bookmarkEnd w:id="175"/>
      <w:r>
        <w:rPr>
          <w:rFonts w:ascii="楷体_GB2312" w:eastAsia="楷体_GB2312" w:hAnsi="楷体_GB2312" w:cs="楷体_GB2312" w:hint="eastAsia"/>
          <w:bCs w:val="0"/>
          <w:color w:val="000000"/>
        </w:rPr>
        <w:t>（二）营造多方参与环境</w:t>
      </w:r>
      <w:bookmarkEnd w:id="176"/>
      <w:bookmarkEnd w:id="177"/>
      <w:bookmarkEnd w:id="178"/>
      <w:bookmarkEnd w:id="179"/>
      <w:bookmarkEnd w:id="180"/>
      <w:bookmarkEnd w:id="181"/>
    </w:p>
    <w:p w:rsidR="00DA02B9" w:rsidRDefault="003229D3">
      <w:pPr>
        <w:ind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加强政府引导，以企业为主体，调动全社会力量建设信</w:t>
      </w:r>
      <w:r>
        <w:rPr>
          <w:rFonts w:ascii="仿宋_GB2312" w:eastAsia="仿宋_GB2312" w:hAnsi="仿宋_GB2312" w:cs="仿宋_GB2312" w:hint="eastAsia"/>
          <w:color w:val="000000"/>
          <w:sz w:val="32"/>
          <w:szCs w:val="32"/>
        </w:rPr>
        <w:lastRenderedPageBreak/>
        <w:t>息</w:t>
      </w:r>
      <w:r>
        <w:rPr>
          <w:rFonts w:ascii="仿宋_GB2312" w:eastAsia="仿宋_GB2312" w:hAnsi="仿宋_GB2312" w:cs="仿宋_GB2312" w:hint="eastAsia"/>
          <w:color w:val="000000"/>
          <w:sz w:val="32"/>
          <w:szCs w:val="32"/>
        </w:rPr>
        <w:t>通信基础设施和发展信息通信技术应用。在政策、标准制定和规划编制中广泛吸取各方意见，提高透明度和社会参与度。鼓励各地加强互联网监测分析，加大对互联网发展的支持力度。鼓励组建产学研用联盟，加强战略、技术、标准、市场等沟通协作，协同创新攻关。引导行业协会等社会组织与企业共同制订互联网行规，鼓励企业积极履行社会责任，推动行业自律。充分发挥政府、企业、社会等各方力量，形成诚信、透明、开放、公正的行业发展环境。</w:t>
      </w:r>
    </w:p>
    <w:p w:rsidR="00DA02B9" w:rsidRDefault="003229D3">
      <w:pPr>
        <w:pStyle w:val="2"/>
        <w:spacing w:before="0" w:after="0" w:line="240" w:lineRule="auto"/>
        <w:ind w:left="640"/>
        <w:rPr>
          <w:rFonts w:ascii="楷体_GB2312" w:eastAsia="楷体_GB2312" w:hAnsi="楷体_GB2312" w:cs="楷体_GB2312"/>
          <w:bCs w:val="0"/>
          <w:color w:val="000000"/>
        </w:rPr>
      </w:pPr>
      <w:bookmarkStart w:id="182" w:name="_Toc451533458"/>
      <w:bookmarkStart w:id="183" w:name="_Toc1331"/>
      <w:bookmarkStart w:id="184" w:name="_Toc452557671"/>
      <w:bookmarkStart w:id="185" w:name="_Toc17506"/>
      <w:bookmarkStart w:id="186" w:name="_Toc448845041"/>
      <w:bookmarkStart w:id="187" w:name="_Toc13549"/>
      <w:r>
        <w:rPr>
          <w:rFonts w:ascii="楷体_GB2312" w:eastAsia="楷体_GB2312" w:hAnsi="楷体_GB2312" w:cs="楷体_GB2312" w:hint="eastAsia"/>
          <w:bCs w:val="0"/>
          <w:color w:val="000000"/>
        </w:rPr>
        <w:t>（三）加大政策支持力度</w:t>
      </w:r>
      <w:bookmarkEnd w:id="182"/>
      <w:bookmarkEnd w:id="183"/>
      <w:bookmarkEnd w:id="184"/>
      <w:bookmarkEnd w:id="185"/>
      <w:bookmarkEnd w:id="186"/>
      <w:bookmarkEnd w:id="187"/>
    </w:p>
    <w:p w:rsidR="00DA02B9" w:rsidRDefault="003229D3">
      <w:pPr>
        <w:ind w:firstLineChars="200" w:firstLine="640"/>
        <w:rPr>
          <w:rFonts w:ascii="仿宋_GB2312" w:eastAsia="仿宋_GB2312" w:hAnsi="仿宋_GB2312" w:cs="仿宋_GB2312"/>
          <w:bCs/>
          <w:color w:val="000000"/>
          <w:kern w:val="0"/>
          <w:sz w:val="32"/>
          <w:szCs w:val="32"/>
        </w:rPr>
      </w:pPr>
      <w:r>
        <w:rPr>
          <w:rFonts w:ascii="仿宋_GB2312" w:eastAsia="仿宋_GB2312" w:hAnsi="仿宋_GB2312" w:cs="仿宋_GB2312" w:hint="eastAsia"/>
          <w:color w:val="000000"/>
          <w:sz w:val="32"/>
          <w:szCs w:val="32"/>
        </w:rPr>
        <w:t>加强财税、金融方面的行业支持力度，鼓励民间资本</w:t>
      </w:r>
      <w:r>
        <w:rPr>
          <w:rFonts w:ascii="仿宋_GB2312" w:eastAsia="仿宋_GB2312" w:hAnsi="仿宋_GB2312" w:cs="仿宋_GB2312" w:hint="eastAsia"/>
          <w:bCs/>
          <w:color w:val="000000"/>
          <w:kern w:val="0"/>
          <w:sz w:val="32"/>
          <w:szCs w:val="32"/>
        </w:rPr>
        <w:t>及创业与私募股权投资，</w:t>
      </w:r>
      <w:r>
        <w:rPr>
          <w:rFonts w:ascii="仿宋_GB2312" w:eastAsia="仿宋_GB2312" w:hAnsi="仿宋_GB2312" w:cs="仿宋_GB2312" w:hint="eastAsia"/>
          <w:color w:val="000000"/>
          <w:sz w:val="32"/>
          <w:szCs w:val="32"/>
        </w:rPr>
        <w:t>培育中小型创新企</w:t>
      </w:r>
      <w:r>
        <w:rPr>
          <w:rFonts w:ascii="仿宋_GB2312" w:eastAsia="仿宋_GB2312" w:hAnsi="仿宋_GB2312" w:cs="仿宋_GB2312" w:hint="eastAsia"/>
          <w:color w:val="000000"/>
          <w:sz w:val="32"/>
          <w:szCs w:val="32"/>
        </w:rPr>
        <w:t>业发展，鼓励具备实力的大企业实现全球范围内的资源优化配置，保障信息通信业转型升级发展。加大投入，完善面向宽带的普遍服务长效机制和普遍服务补偿机制。完善和落实支持创新的政府采购政策，推动行业创新产品和服务的研发应用。继续落实研发费用加计扣除和固定资产加速折旧政策，推动新技术应用，加快高耗能老旧设备有序退网。加强安全相关建设投资政策牵引，探索建立政府引导下的安全投入机制，引导社会加大在基</w:t>
      </w:r>
      <w:r>
        <w:rPr>
          <w:rFonts w:ascii="仿宋_GB2312" w:eastAsia="仿宋_GB2312" w:hAnsi="仿宋_GB2312" w:cs="仿宋_GB2312" w:hint="eastAsia"/>
          <w:bCs/>
          <w:color w:val="000000"/>
          <w:kern w:val="0"/>
          <w:sz w:val="32"/>
          <w:szCs w:val="32"/>
        </w:rPr>
        <w:t>础通信网络和重要信息系统方面的安全产品和服务投入。</w:t>
      </w:r>
      <w:r>
        <w:rPr>
          <w:rFonts w:ascii="仿宋_GB2312" w:eastAsia="仿宋_GB2312" w:hAnsi="仿宋_GB2312" w:cs="仿宋_GB2312" w:hint="eastAsia"/>
          <w:color w:val="000000"/>
          <w:sz w:val="32"/>
          <w:szCs w:val="32"/>
        </w:rPr>
        <w:t>推动环评审批流程优化，多渠道宣传信息通信基础设施相关环保知识，形成社会各界广</w:t>
      </w:r>
      <w:r>
        <w:rPr>
          <w:rFonts w:ascii="仿宋_GB2312" w:eastAsia="仿宋_GB2312" w:hAnsi="仿宋_GB2312" w:cs="仿宋_GB2312" w:hint="eastAsia"/>
          <w:color w:val="000000"/>
          <w:sz w:val="32"/>
          <w:szCs w:val="32"/>
        </w:rPr>
        <w:t>泛支持的良好发展局面。壮大</w:t>
      </w:r>
      <w:r>
        <w:rPr>
          <w:rFonts w:ascii="仿宋_GB2312" w:eastAsia="仿宋_GB2312" w:hAnsi="仿宋_GB2312" w:cs="仿宋_GB2312" w:hint="eastAsia"/>
          <w:color w:val="000000"/>
          <w:sz w:val="32"/>
          <w:szCs w:val="32"/>
        </w:rPr>
        <w:t>信息通信</w:t>
      </w:r>
      <w:r>
        <w:rPr>
          <w:rFonts w:ascii="仿宋_GB2312" w:eastAsia="仿宋_GB2312" w:hAnsi="仿宋_GB2312" w:cs="仿宋_GB2312" w:hint="eastAsia"/>
          <w:color w:val="000000"/>
          <w:sz w:val="32"/>
          <w:szCs w:val="32"/>
        </w:rPr>
        <w:t>行业管理队伍，争取管理机构向地市一级延伸，</w:t>
      </w:r>
      <w:r>
        <w:rPr>
          <w:rFonts w:ascii="仿宋_GB2312" w:eastAsia="仿宋_GB2312" w:hAnsi="仿宋_GB2312" w:cs="仿宋_GB2312" w:hint="eastAsia"/>
          <w:color w:val="000000"/>
          <w:sz w:val="32"/>
          <w:szCs w:val="32"/>
        </w:rPr>
        <w:lastRenderedPageBreak/>
        <w:t>多途径扩充队伍力量。</w:t>
      </w:r>
    </w:p>
    <w:p w:rsidR="00DA02B9" w:rsidRDefault="003229D3">
      <w:pPr>
        <w:pStyle w:val="2"/>
        <w:spacing w:before="0" w:after="0" w:line="240" w:lineRule="auto"/>
        <w:ind w:left="640"/>
        <w:rPr>
          <w:rFonts w:ascii="楷体_GB2312" w:eastAsia="楷体_GB2312" w:hAnsi="楷体_GB2312" w:cs="楷体_GB2312"/>
          <w:bCs w:val="0"/>
          <w:color w:val="000000"/>
        </w:rPr>
      </w:pPr>
      <w:bookmarkStart w:id="188" w:name="_Toc19190"/>
      <w:bookmarkStart w:id="189" w:name="_Toc19023"/>
      <w:bookmarkStart w:id="190" w:name="_Toc452557672"/>
      <w:bookmarkStart w:id="191" w:name="_Toc451533460"/>
      <w:bookmarkStart w:id="192" w:name="_Toc20679"/>
      <w:bookmarkStart w:id="193" w:name="_Toc448845043"/>
      <w:r>
        <w:rPr>
          <w:rFonts w:ascii="楷体_GB2312" w:eastAsia="楷体_GB2312" w:hAnsi="楷体_GB2312" w:cs="楷体_GB2312" w:hint="eastAsia"/>
          <w:bCs w:val="0"/>
          <w:color w:val="000000"/>
        </w:rPr>
        <w:t>（四）加强专业人才培养</w:t>
      </w:r>
      <w:bookmarkEnd w:id="188"/>
      <w:bookmarkEnd w:id="189"/>
      <w:bookmarkEnd w:id="190"/>
      <w:bookmarkEnd w:id="191"/>
      <w:bookmarkEnd w:id="192"/>
      <w:bookmarkEnd w:id="193"/>
    </w:p>
    <w:p w:rsidR="00DA02B9" w:rsidRDefault="003229D3">
      <w:pPr>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鼓励引导政府部门、重点企业完善信息通信业人才培养机制，改革人才引进各项配套制度，优化人才使用和激励机制，提高专业技术人才自主创新和参与科研成果产业化的积极性和主动性，支持优秀人才创新创业。加强教育学科配置的优化，推动建立多方联合培养机制，鼓励企业、高校、科研院所、协会、学会等联合培养通信、互联网、物联网、网络与信息安全相关专业紧缺人才。充分利用学历教育、非学历教育、短期培训等多种途径和方</w:t>
      </w:r>
      <w:r>
        <w:rPr>
          <w:rFonts w:ascii="仿宋_GB2312" w:eastAsia="仿宋_GB2312" w:hAnsi="仿宋_GB2312" w:cs="仿宋_GB2312" w:hint="eastAsia"/>
          <w:color w:val="000000"/>
          <w:sz w:val="32"/>
          <w:szCs w:val="32"/>
        </w:rPr>
        <w:t>式，加快培育跨领域、国际化、高层次、创新型、实用型信息技术人才和服务团队。利用各类引才引智计划，吸引海外留学人才和各国高精尖缺人才来中国发展</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带动国内人才的培养，促进国内科研水平的提升和科研成果转化。</w:t>
      </w:r>
    </w:p>
    <w:p w:rsidR="00DA02B9" w:rsidRDefault="003229D3">
      <w:pPr>
        <w:pStyle w:val="2"/>
        <w:spacing w:before="0" w:after="0" w:line="240" w:lineRule="auto"/>
        <w:ind w:left="640"/>
        <w:rPr>
          <w:rFonts w:ascii="楷体_GB2312" w:eastAsia="楷体_GB2312" w:hAnsi="楷体_GB2312" w:cs="楷体_GB2312"/>
          <w:bCs w:val="0"/>
          <w:color w:val="000000"/>
        </w:rPr>
      </w:pPr>
      <w:bookmarkStart w:id="194" w:name="_Toc3648"/>
      <w:bookmarkStart w:id="195" w:name="_Toc10019"/>
      <w:bookmarkStart w:id="196" w:name="_Toc448845044"/>
      <w:bookmarkStart w:id="197" w:name="_Toc452557673"/>
      <w:bookmarkStart w:id="198" w:name="_Toc451533461"/>
      <w:bookmarkStart w:id="199" w:name="_Toc15165"/>
      <w:r>
        <w:rPr>
          <w:rFonts w:ascii="楷体_GB2312" w:eastAsia="楷体_GB2312" w:hAnsi="楷体_GB2312" w:cs="楷体_GB2312" w:hint="eastAsia"/>
          <w:bCs w:val="0"/>
          <w:color w:val="000000"/>
        </w:rPr>
        <w:t>（五）做好规划落地实施</w:t>
      </w:r>
      <w:bookmarkEnd w:id="194"/>
      <w:bookmarkEnd w:id="195"/>
      <w:bookmarkEnd w:id="196"/>
      <w:bookmarkEnd w:id="197"/>
      <w:bookmarkEnd w:id="198"/>
      <w:bookmarkEnd w:id="199"/>
    </w:p>
    <w:p w:rsidR="00DA02B9" w:rsidRDefault="003229D3">
      <w:pPr>
        <w:ind w:firstLineChars="181" w:firstLine="579"/>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统筹实施网络强国战略、“宽带中国”专项行动和网络与信息安全、应急通信、无线电管理等专项规划。各地方通信管理局负责的规划及企业规划应与本规划充分衔接，细化落实本规划提出的主要目标和发展重点，组织编制实施信息基础设施专项规划，并与各地城市综合规划及各专项规划实现有效衔接。规划实施中出现的新</w:t>
      </w:r>
      <w:r>
        <w:rPr>
          <w:rFonts w:ascii="仿宋_GB2312" w:eastAsia="仿宋_GB2312" w:hAnsi="仿宋_GB2312" w:cs="仿宋_GB2312" w:hint="eastAsia"/>
          <w:color w:val="000000"/>
          <w:sz w:val="32"/>
          <w:szCs w:val="32"/>
        </w:rPr>
        <w:t>情况和新问题要及时报送行业主管部门。行业主管部门加强对企业落实本规划中重点任</w:t>
      </w:r>
      <w:r>
        <w:rPr>
          <w:rFonts w:ascii="仿宋_GB2312" w:eastAsia="仿宋_GB2312" w:hAnsi="仿宋_GB2312" w:cs="仿宋_GB2312" w:hint="eastAsia"/>
          <w:color w:val="000000"/>
          <w:sz w:val="32"/>
          <w:szCs w:val="32"/>
        </w:rPr>
        <w:lastRenderedPageBreak/>
        <w:t>务和重大工程的督导，负责组织对本规划实施情况进行中期评估，并根据评估结果调整目标和任务，优化政策保障措施。</w:t>
      </w:r>
    </w:p>
    <w:p w:rsidR="00DA02B9" w:rsidRDefault="00DA02B9">
      <w:pPr>
        <w:rPr>
          <w:rFonts w:ascii="仿宋_GB2312" w:eastAsia="仿宋_GB2312" w:hAnsi="仿宋_GB2312" w:cs="仿宋_GB2312"/>
          <w:color w:val="000000"/>
          <w:sz w:val="32"/>
          <w:szCs w:val="32"/>
        </w:rPr>
      </w:pPr>
    </w:p>
    <w:p w:rsidR="00DA02B9" w:rsidRDefault="003229D3">
      <w:pPr>
        <w:rPr>
          <w:rFonts w:ascii="仿宋_GB2312" w:eastAsia="仿宋_GB2312"/>
          <w:b/>
          <w:color w:val="000000"/>
          <w:sz w:val="32"/>
          <w:lang w:val="zh-CN"/>
        </w:rPr>
      </w:pPr>
      <w:r>
        <w:rPr>
          <w:rFonts w:ascii="仿宋_GB2312" w:eastAsia="仿宋_GB2312" w:hint="eastAsia"/>
          <w:b/>
          <w:color w:val="000000"/>
          <w:sz w:val="32"/>
          <w:lang w:val="zh-CN"/>
        </w:rPr>
        <w:br w:type="page"/>
      </w:r>
    </w:p>
    <w:p w:rsidR="00DA02B9" w:rsidRDefault="003229D3">
      <w:pPr>
        <w:rPr>
          <w:rFonts w:ascii="仿宋_GB2312" w:eastAsia="仿宋_GB2312"/>
          <w:b/>
          <w:color w:val="000000"/>
          <w:sz w:val="32"/>
          <w:lang w:val="zh-CN"/>
        </w:rPr>
      </w:pPr>
      <w:r>
        <w:rPr>
          <w:rFonts w:ascii="仿宋_GB2312" w:eastAsia="仿宋_GB2312" w:hint="eastAsia"/>
          <w:b/>
          <w:color w:val="000000"/>
          <w:sz w:val="32"/>
          <w:lang w:val="zh-CN"/>
        </w:rPr>
        <w:lastRenderedPageBreak/>
        <w:t>附件：</w:t>
      </w:r>
    </w:p>
    <w:p w:rsidR="00DA02B9" w:rsidRDefault="003229D3">
      <w:pPr>
        <w:jc w:val="center"/>
        <w:rPr>
          <w:rFonts w:ascii="仿宋_GB2312" w:eastAsia="仿宋_GB2312"/>
          <w:color w:val="000000"/>
          <w:sz w:val="32"/>
          <w:lang w:val="zh-CN"/>
        </w:rPr>
      </w:pPr>
      <w:r>
        <w:rPr>
          <w:rFonts w:ascii="仿宋_GB2312" w:eastAsia="仿宋_GB2312" w:hint="eastAsia"/>
          <w:b/>
          <w:color w:val="000000"/>
          <w:sz w:val="32"/>
          <w:lang w:val="zh-CN"/>
        </w:rPr>
        <w:t>名词解释</w:t>
      </w:r>
    </w:p>
    <w:tbl>
      <w:tblPr>
        <w:tblW w:w="899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96"/>
        <w:gridCol w:w="4163"/>
        <w:gridCol w:w="3637"/>
      </w:tblGrid>
      <w:tr w:rsidR="00DA02B9">
        <w:trPr>
          <w:trHeight w:val="270"/>
        </w:trPr>
        <w:tc>
          <w:tcPr>
            <w:tcW w:w="1196" w:type="dxa"/>
            <w:tcBorders>
              <w:top w:val="single" w:sz="4" w:space="0" w:color="auto"/>
              <w:left w:val="single" w:sz="4" w:space="0" w:color="auto"/>
              <w:bottom w:val="single" w:sz="4" w:space="0" w:color="auto"/>
              <w:right w:val="single" w:sz="4" w:space="0" w:color="auto"/>
            </w:tcBorders>
            <w:vAlign w:val="center"/>
          </w:tcPr>
          <w:p w:rsidR="00DA02B9" w:rsidRDefault="003229D3">
            <w:pPr>
              <w:widowControl/>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英文简称</w:t>
            </w:r>
          </w:p>
        </w:tc>
        <w:tc>
          <w:tcPr>
            <w:tcW w:w="4163" w:type="dxa"/>
            <w:tcBorders>
              <w:top w:val="single" w:sz="4" w:space="0" w:color="auto"/>
              <w:left w:val="single" w:sz="4" w:space="0" w:color="auto"/>
              <w:bottom w:val="single" w:sz="4" w:space="0" w:color="auto"/>
              <w:right w:val="single" w:sz="4" w:space="0" w:color="auto"/>
            </w:tcBorders>
            <w:vAlign w:val="center"/>
          </w:tcPr>
          <w:p w:rsidR="00DA02B9" w:rsidRDefault="003229D3">
            <w:pPr>
              <w:widowControl/>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英文全称</w:t>
            </w:r>
          </w:p>
        </w:tc>
        <w:tc>
          <w:tcPr>
            <w:tcW w:w="3637" w:type="dxa"/>
            <w:tcBorders>
              <w:top w:val="single" w:sz="4" w:space="0" w:color="auto"/>
              <w:left w:val="single" w:sz="4" w:space="0" w:color="auto"/>
              <w:bottom w:val="single" w:sz="4" w:space="0" w:color="auto"/>
              <w:right w:val="single" w:sz="4" w:space="0" w:color="auto"/>
            </w:tcBorders>
            <w:vAlign w:val="center"/>
          </w:tcPr>
          <w:p w:rsidR="00DA02B9" w:rsidRDefault="003229D3">
            <w:pPr>
              <w:widowControl/>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中文全称</w:t>
            </w:r>
          </w:p>
        </w:tc>
      </w:tr>
      <w:tr w:rsidR="00DA02B9">
        <w:trPr>
          <w:trHeight w:val="270"/>
        </w:trPr>
        <w:tc>
          <w:tcPr>
            <w:tcW w:w="1196" w:type="dxa"/>
            <w:tcBorders>
              <w:top w:val="single" w:sz="4" w:space="0" w:color="auto"/>
              <w:left w:val="single" w:sz="4" w:space="0" w:color="auto"/>
              <w:bottom w:val="single" w:sz="4" w:space="0" w:color="auto"/>
              <w:right w:val="single" w:sz="4" w:space="0" w:color="auto"/>
            </w:tcBorders>
            <w:vAlign w:val="center"/>
          </w:tcPr>
          <w:p w:rsidR="00DA02B9" w:rsidRDefault="003229D3">
            <w:pPr>
              <w:widowControl/>
              <w:jc w:val="left"/>
              <w:rPr>
                <w:rFonts w:ascii="仿宋_GB2312" w:eastAsia="仿宋_GB2312" w:hAnsi="仿宋_GB2312" w:cs="仿宋_GB2312"/>
                <w:color w:val="000000"/>
                <w:sz w:val="24"/>
                <w:szCs w:val="24"/>
              </w:rPr>
            </w:pPr>
            <w:r>
              <w:rPr>
                <w:rFonts w:ascii="仿宋_GB2312" w:eastAsia="仿宋_GB2312" w:hAnsi="仿宋_GB2312" w:cs="仿宋_GB2312"/>
                <w:color w:val="000000"/>
                <w:sz w:val="24"/>
                <w:szCs w:val="24"/>
              </w:rPr>
              <w:t>3G</w:t>
            </w:r>
          </w:p>
        </w:tc>
        <w:tc>
          <w:tcPr>
            <w:tcW w:w="4163" w:type="dxa"/>
            <w:tcBorders>
              <w:top w:val="single" w:sz="4" w:space="0" w:color="auto"/>
              <w:left w:val="single" w:sz="4" w:space="0" w:color="auto"/>
              <w:bottom w:val="single" w:sz="4" w:space="0" w:color="auto"/>
              <w:right w:val="single" w:sz="4" w:space="0" w:color="auto"/>
            </w:tcBorders>
            <w:vAlign w:val="center"/>
          </w:tcPr>
          <w:p w:rsidR="00DA02B9" w:rsidRDefault="003229D3">
            <w:pPr>
              <w:widowControl/>
              <w:jc w:val="left"/>
              <w:rPr>
                <w:rFonts w:ascii="仿宋_GB2312" w:eastAsia="仿宋_GB2312" w:hAnsi="仿宋_GB2312" w:cs="仿宋_GB2312"/>
                <w:color w:val="000000"/>
                <w:sz w:val="24"/>
                <w:szCs w:val="24"/>
              </w:rPr>
            </w:pPr>
            <w:r>
              <w:rPr>
                <w:rFonts w:ascii="仿宋_GB2312" w:eastAsia="仿宋_GB2312" w:hAnsi="仿宋_GB2312" w:hint="eastAsia"/>
                <w:color w:val="000000"/>
                <w:kern w:val="0"/>
                <w:sz w:val="24"/>
              </w:rPr>
              <w:t>3</w:t>
            </w:r>
            <w:r>
              <w:rPr>
                <w:rFonts w:ascii="仿宋_GB2312" w:eastAsia="仿宋_GB2312" w:hAnsi="仿宋_GB2312" w:hint="eastAsia"/>
                <w:color w:val="000000"/>
                <w:kern w:val="0"/>
                <w:sz w:val="24"/>
                <w:vertAlign w:val="superscript"/>
              </w:rPr>
              <w:t>rd</w:t>
            </w:r>
            <w:r>
              <w:rPr>
                <w:rFonts w:ascii="仿宋_GB2312" w:eastAsia="仿宋_GB2312" w:hAnsi="仿宋_GB2312" w:hint="eastAsia"/>
                <w:color w:val="000000"/>
                <w:kern w:val="0"/>
                <w:sz w:val="24"/>
              </w:rPr>
              <w:t>-Generation</w:t>
            </w:r>
          </w:p>
        </w:tc>
        <w:tc>
          <w:tcPr>
            <w:tcW w:w="3637" w:type="dxa"/>
            <w:tcBorders>
              <w:top w:val="single" w:sz="4" w:space="0" w:color="auto"/>
              <w:left w:val="single" w:sz="4" w:space="0" w:color="auto"/>
              <w:bottom w:val="single" w:sz="4" w:space="0" w:color="auto"/>
              <w:right w:val="single" w:sz="4" w:space="0" w:color="auto"/>
            </w:tcBorders>
            <w:vAlign w:val="center"/>
          </w:tcPr>
          <w:p w:rsidR="00DA02B9" w:rsidRDefault="003229D3">
            <w:pPr>
              <w:widowControl/>
              <w:jc w:val="lef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第三代移动通信</w:t>
            </w:r>
          </w:p>
        </w:tc>
      </w:tr>
      <w:tr w:rsidR="00DA02B9">
        <w:trPr>
          <w:trHeight w:val="270"/>
        </w:trPr>
        <w:tc>
          <w:tcPr>
            <w:tcW w:w="1196" w:type="dxa"/>
            <w:tcBorders>
              <w:top w:val="single" w:sz="4" w:space="0" w:color="auto"/>
              <w:left w:val="single" w:sz="4" w:space="0" w:color="auto"/>
              <w:bottom w:val="single" w:sz="4" w:space="0" w:color="auto"/>
              <w:right w:val="single" w:sz="4" w:space="0" w:color="auto"/>
            </w:tcBorders>
            <w:vAlign w:val="center"/>
          </w:tcPr>
          <w:p w:rsidR="00DA02B9" w:rsidRDefault="003229D3">
            <w:pPr>
              <w:widowControl/>
              <w:jc w:val="left"/>
              <w:rPr>
                <w:rFonts w:ascii="仿宋_GB2312" w:eastAsia="仿宋_GB2312" w:hAnsi="仿宋_GB2312" w:cs="仿宋_GB2312"/>
                <w:color w:val="000000"/>
                <w:sz w:val="24"/>
                <w:szCs w:val="24"/>
              </w:rPr>
            </w:pPr>
            <w:r>
              <w:rPr>
                <w:rFonts w:ascii="仿宋_GB2312" w:eastAsia="仿宋_GB2312" w:hAnsi="仿宋_GB2312" w:cs="仿宋_GB2312"/>
                <w:color w:val="000000"/>
                <w:sz w:val="24"/>
                <w:szCs w:val="24"/>
              </w:rPr>
              <w:t>4G</w:t>
            </w:r>
          </w:p>
        </w:tc>
        <w:tc>
          <w:tcPr>
            <w:tcW w:w="4163" w:type="dxa"/>
            <w:tcBorders>
              <w:top w:val="single" w:sz="4" w:space="0" w:color="auto"/>
              <w:left w:val="single" w:sz="4" w:space="0" w:color="auto"/>
              <w:bottom w:val="single" w:sz="4" w:space="0" w:color="auto"/>
              <w:right w:val="single" w:sz="4" w:space="0" w:color="auto"/>
            </w:tcBorders>
            <w:vAlign w:val="center"/>
          </w:tcPr>
          <w:p w:rsidR="00DA02B9" w:rsidRDefault="003229D3">
            <w:pPr>
              <w:widowControl/>
              <w:jc w:val="left"/>
              <w:rPr>
                <w:rFonts w:ascii="仿宋_GB2312" w:eastAsia="仿宋_GB2312" w:hAnsi="仿宋_GB2312" w:cs="仿宋_GB2312"/>
                <w:color w:val="000000"/>
                <w:sz w:val="24"/>
                <w:szCs w:val="24"/>
              </w:rPr>
            </w:pPr>
            <w:r>
              <w:rPr>
                <w:rFonts w:ascii="仿宋_GB2312" w:eastAsia="仿宋_GB2312" w:hAnsi="仿宋_GB2312" w:hint="eastAsia"/>
                <w:color w:val="000000"/>
                <w:kern w:val="0"/>
                <w:sz w:val="24"/>
              </w:rPr>
              <w:t>4</w:t>
            </w:r>
            <w:r>
              <w:rPr>
                <w:rFonts w:ascii="仿宋_GB2312" w:eastAsia="仿宋_GB2312" w:hAnsi="仿宋_GB2312" w:hint="eastAsia"/>
                <w:color w:val="000000"/>
                <w:kern w:val="0"/>
                <w:sz w:val="24"/>
                <w:vertAlign w:val="superscript"/>
              </w:rPr>
              <w:t>th</w:t>
            </w:r>
            <w:r>
              <w:rPr>
                <w:rFonts w:ascii="仿宋_GB2312" w:eastAsia="仿宋_GB2312" w:hAnsi="仿宋_GB2312" w:hint="eastAsia"/>
                <w:color w:val="000000"/>
                <w:kern w:val="0"/>
                <w:sz w:val="24"/>
              </w:rPr>
              <w:t>-Generation</w:t>
            </w:r>
          </w:p>
        </w:tc>
        <w:tc>
          <w:tcPr>
            <w:tcW w:w="3637" w:type="dxa"/>
            <w:tcBorders>
              <w:top w:val="single" w:sz="4" w:space="0" w:color="auto"/>
              <w:left w:val="single" w:sz="4" w:space="0" w:color="auto"/>
              <w:bottom w:val="single" w:sz="4" w:space="0" w:color="auto"/>
              <w:right w:val="single" w:sz="4" w:space="0" w:color="auto"/>
            </w:tcBorders>
            <w:vAlign w:val="center"/>
          </w:tcPr>
          <w:p w:rsidR="00DA02B9" w:rsidRDefault="003229D3">
            <w:pPr>
              <w:widowControl/>
              <w:jc w:val="lef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第四代移动通信</w:t>
            </w:r>
          </w:p>
        </w:tc>
      </w:tr>
      <w:tr w:rsidR="00DA02B9">
        <w:trPr>
          <w:trHeight w:val="270"/>
        </w:trPr>
        <w:tc>
          <w:tcPr>
            <w:tcW w:w="1196" w:type="dxa"/>
            <w:tcBorders>
              <w:top w:val="single" w:sz="4" w:space="0" w:color="auto"/>
              <w:left w:val="single" w:sz="4" w:space="0" w:color="auto"/>
              <w:bottom w:val="single" w:sz="4" w:space="0" w:color="auto"/>
              <w:right w:val="single" w:sz="4" w:space="0" w:color="auto"/>
            </w:tcBorders>
            <w:vAlign w:val="center"/>
          </w:tcPr>
          <w:p w:rsidR="00DA02B9" w:rsidRDefault="003229D3">
            <w:pPr>
              <w:widowControl/>
              <w:jc w:val="left"/>
              <w:rPr>
                <w:rFonts w:ascii="仿宋_GB2312" w:eastAsia="仿宋_GB2312" w:hAnsi="仿宋_GB2312" w:cs="仿宋_GB2312"/>
                <w:color w:val="000000"/>
                <w:sz w:val="24"/>
                <w:szCs w:val="24"/>
              </w:rPr>
            </w:pPr>
            <w:proofErr w:type="spellStart"/>
            <w:r>
              <w:rPr>
                <w:rFonts w:ascii="仿宋_GB2312" w:eastAsia="仿宋_GB2312" w:hAnsi="仿宋_GB2312" w:cs="仿宋_GB2312"/>
                <w:color w:val="000000"/>
                <w:sz w:val="24"/>
                <w:szCs w:val="24"/>
              </w:rPr>
              <w:t>Tbps</w:t>
            </w:r>
            <w:proofErr w:type="spellEnd"/>
          </w:p>
        </w:tc>
        <w:tc>
          <w:tcPr>
            <w:tcW w:w="4163" w:type="dxa"/>
            <w:tcBorders>
              <w:top w:val="single" w:sz="4" w:space="0" w:color="auto"/>
              <w:left w:val="single" w:sz="4" w:space="0" w:color="auto"/>
              <w:bottom w:val="single" w:sz="4" w:space="0" w:color="auto"/>
              <w:right w:val="single" w:sz="4" w:space="0" w:color="auto"/>
            </w:tcBorders>
            <w:vAlign w:val="center"/>
          </w:tcPr>
          <w:p w:rsidR="00DA02B9" w:rsidRDefault="003229D3">
            <w:pPr>
              <w:widowControl/>
              <w:jc w:val="left"/>
              <w:rPr>
                <w:rFonts w:ascii="仿宋_GB2312" w:eastAsia="仿宋_GB2312" w:hAnsi="仿宋_GB2312" w:cs="仿宋_GB2312"/>
                <w:color w:val="000000"/>
                <w:sz w:val="24"/>
                <w:szCs w:val="24"/>
              </w:rPr>
            </w:pPr>
            <w:proofErr w:type="spellStart"/>
            <w:r>
              <w:rPr>
                <w:rFonts w:ascii="仿宋_GB2312" w:eastAsia="仿宋_GB2312" w:hAnsi="仿宋_GB2312" w:cs="仿宋_GB2312"/>
                <w:color w:val="000000"/>
                <w:sz w:val="24"/>
                <w:szCs w:val="24"/>
              </w:rPr>
              <w:t>Tera</w:t>
            </w:r>
            <w:proofErr w:type="spellEnd"/>
            <w:r>
              <w:rPr>
                <w:rFonts w:ascii="仿宋_GB2312" w:eastAsia="仿宋_GB2312" w:hAnsi="仿宋_GB2312" w:cs="仿宋_GB2312"/>
                <w:color w:val="000000"/>
                <w:sz w:val="24"/>
                <w:szCs w:val="24"/>
              </w:rPr>
              <w:t xml:space="preserve"> Bit Per Second</w:t>
            </w:r>
          </w:p>
        </w:tc>
        <w:tc>
          <w:tcPr>
            <w:tcW w:w="3637" w:type="dxa"/>
            <w:tcBorders>
              <w:top w:val="single" w:sz="4" w:space="0" w:color="auto"/>
              <w:left w:val="single" w:sz="4" w:space="0" w:color="auto"/>
              <w:bottom w:val="single" w:sz="4" w:space="0" w:color="auto"/>
              <w:right w:val="single" w:sz="4" w:space="0" w:color="auto"/>
            </w:tcBorders>
            <w:vAlign w:val="center"/>
          </w:tcPr>
          <w:p w:rsidR="00DA02B9" w:rsidRDefault="003229D3">
            <w:pPr>
              <w:widowControl/>
              <w:jc w:val="lef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太比特每秒</w:t>
            </w:r>
          </w:p>
        </w:tc>
      </w:tr>
      <w:tr w:rsidR="00DA02B9">
        <w:trPr>
          <w:trHeight w:val="270"/>
        </w:trPr>
        <w:tc>
          <w:tcPr>
            <w:tcW w:w="1196" w:type="dxa"/>
            <w:tcBorders>
              <w:top w:val="single" w:sz="4" w:space="0" w:color="auto"/>
              <w:left w:val="single" w:sz="4" w:space="0" w:color="auto"/>
              <w:bottom w:val="single" w:sz="4" w:space="0" w:color="auto"/>
              <w:right w:val="single" w:sz="4" w:space="0" w:color="auto"/>
            </w:tcBorders>
            <w:vAlign w:val="center"/>
          </w:tcPr>
          <w:p w:rsidR="00DA02B9" w:rsidRDefault="003229D3">
            <w:pPr>
              <w:widowControl/>
              <w:jc w:val="left"/>
              <w:rPr>
                <w:rFonts w:ascii="仿宋_GB2312" w:eastAsia="仿宋_GB2312" w:hAnsi="仿宋_GB2312" w:cs="仿宋_GB2312"/>
                <w:color w:val="000000"/>
                <w:sz w:val="24"/>
                <w:szCs w:val="24"/>
              </w:rPr>
            </w:pPr>
            <w:r>
              <w:rPr>
                <w:rFonts w:ascii="仿宋_GB2312" w:eastAsia="仿宋_GB2312" w:hAnsi="仿宋_GB2312" w:cs="仿宋_GB2312"/>
                <w:color w:val="000000"/>
                <w:sz w:val="24"/>
                <w:szCs w:val="24"/>
              </w:rPr>
              <w:t>TD-LTE</w:t>
            </w:r>
          </w:p>
        </w:tc>
        <w:tc>
          <w:tcPr>
            <w:tcW w:w="4163" w:type="dxa"/>
            <w:tcBorders>
              <w:top w:val="single" w:sz="4" w:space="0" w:color="auto"/>
              <w:left w:val="single" w:sz="4" w:space="0" w:color="auto"/>
              <w:bottom w:val="single" w:sz="4" w:space="0" w:color="auto"/>
              <w:right w:val="single" w:sz="4" w:space="0" w:color="auto"/>
            </w:tcBorders>
            <w:vAlign w:val="center"/>
          </w:tcPr>
          <w:p w:rsidR="00DA02B9" w:rsidRDefault="003229D3">
            <w:pPr>
              <w:widowControl/>
              <w:snapToGrid w:val="0"/>
              <w:jc w:val="left"/>
              <w:textAlignment w:val="baseline"/>
              <w:rPr>
                <w:rFonts w:ascii="仿宋_GB2312" w:eastAsia="仿宋_GB2312" w:hAnsi="仿宋_GB2312" w:cs="仿宋_GB2312"/>
                <w:color w:val="000000"/>
                <w:sz w:val="24"/>
                <w:szCs w:val="24"/>
              </w:rPr>
            </w:pPr>
            <w:r>
              <w:rPr>
                <w:rFonts w:ascii="仿宋_GB2312" w:eastAsia="仿宋_GB2312" w:hAnsi="仿宋_GB2312" w:cs="仿宋_GB2312"/>
                <w:color w:val="000000"/>
                <w:sz w:val="24"/>
                <w:szCs w:val="24"/>
              </w:rPr>
              <w:t>Time Division Long Term Evolution</w:t>
            </w:r>
          </w:p>
        </w:tc>
        <w:tc>
          <w:tcPr>
            <w:tcW w:w="3637" w:type="dxa"/>
            <w:tcBorders>
              <w:top w:val="single" w:sz="4" w:space="0" w:color="auto"/>
              <w:left w:val="single" w:sz="4" w:space="0" w:color="auto"/>
              <w:bottom w:val="single" w:sz="4" w:space="0" w:color="auto"/>
              <w:right w:val="single" w:sz="4" w:space="0" w:color="auto"/>
            </w:tcBorders>
            <w:vAlign w:val="center"/>
          </w:tcPr>
          <w:p w:rsidR="00DA02B9" w:rsidRDefault="003229D3">
            <w:pPr>
              <w:widowControl/>
              <w:jc w:val="lef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时分同步码分多址长期演进技术</w:t>
            </w:r>
          </w:p>
        </w:tc>
      </w:tr>
      <w:tr w:rsidR="00DA02B9">
        <w:trPr>
          <w:trHeight w:val="270"/>
        </w:trPr>
        <w:tc>
          <w:tcPr>
            <w:tcW w:w="1196" w:type="dxa"/>
            <w:tcBorders>
              <w:top w:val="single" w:sz="4" w:space="0" w:color="auto"/>
              <w:left w:val="single" w:sz="4" w:space="0" w:color="auto"/>
              <w:bottom w:val="single" w:sz="4" w:space="0" w:color="auto"/>
              <w:right w:val="single" w:sz="4" w:space="0" w:color="auto"/>
            </w:tcBorders>
            <w:vAlign w:val="center"/>
          </w:tcPr>
          <w:p w:rsidR="00DA02B9" w:rsidRDefault="003229D3">
            <w:pPr>
              <w:widowControl/>
              <w:jc w:val="left"/>
              <w:rPr>
                <w:rFonts w:ascii="仿宋_GB2312" w:eastAsia="仿宋_GB2312" w:hAnsi="仿宋_GB2312" w:cs="仿宋_GB2312"/>
                <w:color w:val="000000"/>
                <w:sz w:val="24"/>
                <w:szCs w:val="24"/>
              </w:rPr>
            </w:pPr>
            <w:r>
              <w:rPr>
                <w:rFonts w:ascii="仿宋_GB2312" w:eastAsia="仿宋_GB2312" w:hAnsi="仿宋_GB2312" w:cs="仿宋_GB2312"/>
                <w:color w:val="000000"/>
                <w:sz w:val="24"/>
                <w:szCs w:val="24"/>
              </w:rPr>
              <w:t>IPv6</w:t>
            </w:r>
          </w:p>
        </w:tc>
        <w:tc>
          <w:tcPr>
            <w:tcW w:w="4163" w:type="dxa"/>
            <w:tcBorders>
              <w:top w:val="single" w:sz="4" w:space="0" w:color="auto"/>
              <w:left w:val="single" w:sz="4" w:space="0" w:color="auto"/>
              <w:bottom w:val="single" w:sz="4" w:space="0" w:color="auto"/>
              <w:right w:val="single" w:sz="4" w:space="0" w:color="auto"/>
            </w:tcBorders>
            <w:vAlign w:val="center"/>
          </w:tcPr>
          <w:p w:rsidR="00DA02B9" w:rsidRDefault="003229D3">
            <w:pPr>
              <w:widowControl/>
              <w:snapToGrid w:val="0"/>
              <w:jc w:val="left"/>
              <w:textAlignment w:val="baseline"/>
              <w:rPr>
                <w:rFonts w:ascii="仿宋_GB2312" w:eastAsia="仿宋_GB2312" w:hAnsi="仿宋_GB2312" w:cs="仿宋_GB2312"/>
                <w:color w:val="000000"/>
                <w:sz w:val="24"/>
                <w:szCs w:val="24"/>
              </w:rPr>
            </w:pPr>
            <w:r>
              <w:rPr>
                <w:rFonts w:ascii="仿宋_GB2312" w:eastAsia="仿宋_GB2312" w:hAnsi="仿宋_GB2312" w:cs="仿宋_GB2312"/>
                <w:color w:val="000000"/>
                <w:sz w:val="24"/>
                <w:szCs w:val="24"/>
              </w:rPr>
              <w:t>Internet Protocol Version 6</w:t>
            </w:r>
          </w:p>
        </w:tc>
        <w:tc>
          <w:tcPr>
            <w:tcW w:w="3637" w:type="dxa"/>
            <w:tcBorders>
              <w:top w:val="single" w:sz="4" w:space="0" w:color="auto"/>
              <w:left w:val="single" w:sz="4" w:space="0" w:color="auto"/>
              <w:bottom w:val="single" w:sz="4" w:space="0" w:color="auto"/>
              <w:right w:val="single" w:sz="4" w:space="0" w:color="auto"/>
            </w:tcBorders>
            <w:vAlign w:val="center"/>
          </w:tcPr>
          <w:p w:rsidR="00DA02B9" w:rsidRDefault="003229D3">
            <w:pPr>
              <w:widowControl/>
              <w:jc w:val="lef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互联网协议第六版本</w:t>
            </w:r>
          </w:p>
        </w:tc>
      </w:tr>
      <w:tr w:rsidR="00DA02B9">
        <w:trPr>
          <w:trHeight w:val="270"/>
        </w:trPr>
        <w:tc>
          <w:tcPr>
            <w:tcW w:w="1196" w:type="dxa"/>
            <w:tcBorders>
              <w:top w:val="single" w:sz="4" w:space="0" w:color="auto"/>
              <w:left w:val="single" w:sz="4" w:space="0" w:color="auto"/>
              <w:bottom w:val="single" w:sz="4" w:space="0" w:color="auto"/>
              <w:right w:val="single" w:sz="4" w:space="0" w:color="auto"/>
            </w:tcBorders>
            <w:vAlign w:val="center"/>
          </w:tcPr>
          <w:p w:rsidR="00DA02B9" w:rsidRDefault="003229D3">
            <w:pPr>
              <w:widowControl/>
              <w:jc w:val="left"/>
              <w:rPr>
                <w:rFonts w:ascii="仿宋_GB2312" w:eastAsia="仿宋_GB2312" w:hAnsi="仿宋_GB2312" w:cs="仿宋_GB2312"/>
                <w:color w:val="000000"/>
                <w:sz w:val="24"/>
                <w:szCs w:val="24"/>
              </w:rPr>
            </w:pPr>
            <w:r>
              <w:rPr>
                <w:rFonts w:ascii="仿宋_GB2312" w:eastAsia="仿宋_GB2312" w:hAnsi="仿宋_GB2312" w:cs="仿宋_GB2312"/>
                <w:color w:val="000000"/>
                <w:sz w:val="24"/>
                <w:szCs w:val="24"/>
              </w:rPr>
              <w:t>PUE</w:t>
            </w:r>
          </w:p>
        </w:tc>
        <w:tc>
          <w:tcPr>
            <w:tcW w:w="4163" w:type="dxa"/>
            <w:tcBorders>
              <w:top w:val="single" w:sz="4" w:space="0" w:color="auto"/>
              <w:left w:val="single" w:sz="4" w:space="0" w:color="auto"/>
              <w:bottom w:val="single" w:sz="4" w:space="0" w:color="auto"/>
              <w:right w:val="single" w:sz="4" w:space="0" w:color="auto"/>
            </w:tcBorders>
            <w:vAlign w:val="center"/>
          </w:tcPr>
          <w:p w:rsidR="00DA02B9" w:rsidRDefault="003229D3">
            <w:pPr>
              <w:widowControl/>
              <w:jc w:val="left"/>
              <w:rPr>
                <w:rFonts w:ascii="仿宋_GB2312" w:eastAsia="仿宋_GB2312" w:hAnsi="仿宋_GB2312" w:cs="仿宋_GB2312"/>
                <w:color w:val="000000"/>
                <w:sz w:val="24"/>
                <w:szCs w:val="24"/>
              </w:rPr>
            </w:pPr>
            <w:r>
              <w:rPr>
                <w:rFonts w:ascii="仿宋_GB2312" w:eastAsia="仿宋_GB2312" w:hAnsi="仿宋_GB2312" w:cs="仿宋_GB2312"/>
                <w:color w:val="000000"/>
                <w:sz w:val="24"/>
                <w:szCs w:val="24"/>
              </w:rPr>
              <w:t>Power Usage Effectiveness</w:t>
            </w:r>
          </w:p>
        </w:tc>
        <w:tc>
          <w:tcPr>
            <w:tcW w:w="3637" w:type="dxa"/>
            <w:tcBorders>
              <w:top w:val="single" w:sz="4" w:space="0" w:color="auto"/>
              <w:left w:val="single" w:sz="4" w:space="0" w:color="auto"/>
              <w:bottom w:val="single" w:sz="4" w:space="0" w:color="auto"/>
              <w:right w:val="single" w:sz="4" w:space="0" w:color="auto"/>
            </w:tcBorders>
            <w:vAlign w:val="center"/>
          </w:tcPr>
          <w:p w:rsidR="00DA02B9" w:rsidRDefault="003229D3">
            <w:pPr>
              <w:widowControl/>
              <w:jc w:val="lef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能量使用效率</w:t>
            </w:r>
          </w:p>
        </w:tc>
      </w:tr>
      <w:tr w:rsidR="00DA02B9">
        <w:trPr>
          <w:trHeight w:val="270"/>
        </w:trPr>
        <w:tc>
          <w:tcPr>
            <w:tcW w:w="1196" w:type="dxa"/>
            <w:tcBorders>
              <w:top w:val="single" w:sz="4" w:space="0" w:color="auto"/>
              <w:left w:val="single" w:sz="4" w:space="0" w:color="auto"/>
              <w:bottom w:val="single" w:sz="4" w:space="0" w:color="auto"/>
              <w:right w:val="single" w:sz="4" w:space="0" w:color="auto"/>
            </w:tcBorders>
            <w:vAlign w:val="center"/>
          </w:tcPr>
          <w:p w:rsidR="00DA02B9" w:rsidRDefault="003229D3">
            <w:pPr>
              <w:widowControl/>
              <w:jc w:val="left"/>
              <w:rPr>
                <w:rFonts w:ascii="仿宋_GB2312" w:eastAsia="仿宋_GB2312" w:hAnsi="仿宋_GB2312" w:cs="仿宋_GB2312"/>
                <w:color w:val="000000"/>
                <w:sz w:val="24"/>
                <w:szCs w:val="24"/>
              </w:rPr>
            </w:pPr>
            <w:r>
              <w:rPr>
                <w:rFonts w:ascii="仿宋_GB2312" w:eastAsia="仿宋_GB2312" w:hAnsi="仿宋_GB2312" w:cs="仿宋_GB2312"/>
                <w:color w:val="000000"/>
                <w:sz w:val="24"/>
                <w:szCs w:val="24"/>
              </w:rPr>
              <w:t>RFID</w:t>
            </w:r>
          </w:p>
        </w:tc>
        <w:tc>
          <w:tcPr>
            <w:tcW w:w="4163" w:type="dxa"/>
            <w:tcBorders>
              <w:top w:val="single" w:sz="4" w:space="0" w:color="auto"/>
              <w:left w:val="single" w:sz="4" w:space="0" w:color="auto"/>
              <w:bottom w:val="single" w:sz="4" w:space="0" w:color="auto"/>
              <w:right w:val="single" w:sz="4" w:space="0" w:color="auto"/>
            </w:tcBorders>
            <w:vAlign w:val="center"/>
          </w:tcPr>
          <w:p w:rsidR="00DA02B9" w:rsidRDefault="003229D3">
            <w:pPr>
              <w:widowControl/>
              <w:jc w:val="left"/>
              <w:rPr>
                <w:rFonts w:ascii="仿宋_GB2312" w:eastAsia="仿宋_GB2312" w:hAnsi="仿宋_GB2312" w:cs="仿宋_GB2312"/>
                <w:color w:val="000000"/>
                <w:sz w:val="24"/>
                <w:szCs w:val="24"/>
              </w:rPr>
            </w:pPr>
            <w:r>
              <w:rPr>
                <w:rFonts w:ascii="仿宋_GB2312" w:eastAsia="仿宋_GB2312" w:hAnsi="仿宋_GB2312" w:cs="仿宋_GB2312"/>
                <w:color w:val="000000"/>
                <w:sz w:val="24"/>
                <w:szCs w:val="24"/>
              </w:rPr>
              <w:t>Radio Frequency Identification</w:t>
            </w:r>
          </w:p>
        </w:tc>
        <w:tc>
          <w:tcPr>
            <w:tcW w:w="3637" w:type="dxa"/>
            <w:tcBorders>
              <w:top w:val="single" w:sz="4" w:space="0" w:color="auto"/>
              <w:left w:val="single" w:sz="4" w:space="0" w:color="auto"/>
              <w:bottom w:val="single" w:sz="4" w:space="0" w:color="auto"/>
              <w:right w:val="single" w:sz="4" w:space="0" w:color="auto"/>
            </w:tcBorders>
            <w:vAlign w:val="center"/>
          </w:tcPr>
          <w:p w:rsidR="00DA02B9" w:rsidRDefault="003229D3">
            <w:pPr>
              <w:widowControl/>
              <w:jc w:val="lef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射频识别技术</w:t>
            </w:r>
          </w:p>
        </w:tc>
      </w:tr>
      <w:tr w:rsidR="00DA02B9">
        <w:trPr>
          <w:trHeight w:val="270"/>
        </w:trPr>
        <w:tc>
          <w:tcPr>
            <w:tcW w:w="1196" w:type="dxa"/>
            <w:tcBorders>
              <w:top w:val="single" w:sz="4" w:space="0" w:color="auto"/>
              <w:left w:val="single" w:sz="4" w:space="0" w:color="auto"/>
              <w:bottom w:val="single" w:sz="4" w:space="0" w:color="auto"/>
              <w:right w:val="single" w:sz="4" w:space="0" w:color="auto"/>
            </w:tcBorders>
            <w:vAlign w:val="center"/>
          </w:tcPr>
          <w:p w:rsidR="00DA02B9" w:rsidRDefault="003229D3">
            <w:pPr>
              <w:widowControl/>
              <w:jc w:val="left"/>
              <w:rPr>
                <w:rFonts w:ascii="仿宋_GB2312" w:eastAsia="仿宋_GB2312" w:hAnsi="仿宋_GB2312" w:cs="仿宋_GB2312"/>
                <w:color w:val="000000"/>
                <w:sz w:val="24"/>
                <w:szCs w:val="24"/>
              </w:rPr>
            </w:pPr>
            <w:r>
              <w:rPr>
                <w:rFonts w:ascii="仿宋_GB2312" w:eastAsia="仿宋_GB2312" w:hAnsi="仿宋_GB2312" w:cs="仿宋_GB2312"/>
                <w:color w:val="000000"/>
                <w:sz w:val="24"/>
                <w:szCs w:val="24"/>
              </w:rPr>
              <w:t>M2M</w:t>
            </w:r>
          </w:p>
        </w:tc>
        <w:tc>
          <w:tcPr>
            <w:tcW w:w="4163" w:type="dxa"/>
            <w:tcBorders>
              <w:top w:val="single" w:sz="4" w:space="0" w:color="auto"/>
              <w:left w:val="single" w:sz="4" w:space="0" w:color="auto"/>
              <w:bottom w:val="single" w:sz="4" w:space="0" w:color="auto"/>
              <w:right w:val="single" w:sz="4" w:space="0" w:color="auto"/>
            </w:tcBorders>
            <w:vAlign w:val="center"/>
          </w:tcPr>
          <w:p w:rsidR="00DA02B9" w:rsidRDefault="003229D3">
            <w:pPr>
              <w:widowControl/>
              <w:jc w:val="left"/>
              <w:rPr>
                <w:rFonts w:ascii="仿宋_GB2312" w:eastAsia="仿宋_GB2312" w:hAnsi="仿宋_GB2312" w:cs="仿宋_GB2312"/>
                <w:color w:val="000000"/>
                <w:sz w:val="24"/>
                <w:szCs w:val="24"/>
              </w:rPr>
            </w:pPr>
            <w:r>
              <w:rPr>
                <w:rFonts w:ascii="仿宋_GB2312" w:eastAsia="仿宋_GB2312" w:hAnsi="仿宋_GB2312" w:cs="仿宋_GB2312"/>
                <w:color w:val="000000"/>
                <w:sz w:val="24"/>
                <w:szCs w:val="24"/>
              </w:rPr>
              <w:t>Machine-To-Machine</w:t>
            </w:r>
          </w:p>
        </w:tc>
        <w:tc>
          <w:tcPr>
            <w:tcW w:w="3637" w:type="dxa"/>
            <w:tcBorders>
              <w:top w:val="single" w:sz="4" w:space="0" w:color="auto"/>
              <w:left w:val="single" w:sz="4" w:space="0" w:color="auto"/>
              <w:bottom w:val="single" w:sz="4" w:space="0" w:color="auto"/>
              <w:right w:val="single" w:sz="4" w:space="0" w:color="auto"/>
            </w:tcBorders>
            <w:vAlign w:val="center"/>
          </w:tcPr>
          <w:p w:rsidR="00DA02B9" w:rsidRDefault="003229D3">
            <w:pPr>
              <w:widowControl/>
              <w:jc w:val="lef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机器对机器通信</w:t>
            </w:r>
          </w:p>
        </w:tc>
      </w:tr>
      <w:tr w:rsidR="00DA02B9">
        <w:trPr>
          <w:trHeight w:val="270"/>
        </w:trPr>
        <w:tc>
          <w:tcPr>
            <w:tcW w:w="1196" w:type="dxa"/>
            <w:tcBorders>
              <w:top w:val="single" w:sz="4" w:space="0" w:color="auto"/>
              <w:left w:val="single" w:sz="4" w:space="0" w:color="auto"/>
              <w:bottom w:val="single" w:sz="4" w:space="0" w:color="auto"/>
              <w:right w:val="single" w:sz="4" w:space="0" w:color="auto"/>
            </w:tcBorders>
            <w:vAlign w:val="center"/>
          </w:tcPr>
          <w:p w:rsidR="00DA02B9" w:rsidRDefault="003229D3">
            <w:pPr>
              <w:widowControl/>
              <w:jc w:val="left"/>
              <w:rPr>
                <w:rFonts w:ascii="仿宋_GB2312" w:eastAsia="仿宋_GB2312" w:hAnsi="仿宋_GB2312" w:cs="仿宋_GB2312"/>
                <w:color w:val="000000"/>
                <w:sz w:val="24"/>
                <w:szCs w:val="24"/>
              </w:rPr>
            </w:pPr>
            <w:r>
              <w:rPr>
                <w:rFonts w:ascii="仿宋_GB2312" w:eastAsia="仿宋_GB2312" w:hAnsi="仿宋_GB2312" w:cs="仿宋_GB2312"/>
                <w:color w:val="000000"/>
                <w:sz w:val="24"/>
                <w:szCs w:val="24"/>
              </w:rPr>
              <w:t>IPTV</w:t>
            </w:r>
          </w:p>
        </w:tc>
        <w:tc>
          <w:tcPr>
            <w:tcW w:w="4163" w:type="dxa"/>
            <w:tcBorders>
              <w:top w:val="single" w:sz="4" w:space="0" w:color="auto"/>
              <w:left w:val="single" w:sz="4" w:space="0" w:color="auto"/>
              <w:bottom w:val="single" w:sz="4" w:space="0" w:color="auto"/>
              <w:right w:val="single" w:sz="4" w:space="0" w:color="auto"/>
            </w:tcBorders>
            <w:vAlign w:val="center"/>
          </w:tcPr>
          <w:p w:rsidR="00DA02B9" w:rsidRDefault="003229D3">
            <w:pPr>
              <w:widowControl/>
              <w:jc w:val="left"/>
              <w:rPr>
                <w:rFonts w:ascii="仿宋_GB2312" w:eastAsia="仿宋_GB2312" w:hAnsi="仿宋_GB2312" w:cs="仿宋_GB2312"/>
                <w:color w:val="000000"/>
                <w:sz w:val="24"/>
                <w:szCs w:val="24"/>
              </w:rPr>
            </w:pPr>
            <w:r>
              <w:rPr>
                <w:rFonts w:ascii="仿宋_GB2312" w:eastAsia="仿宋_GB2312" w:hAnsi="仿宋_GB2312" w:cs="仿宋_GB2312"/>
                <w:color w:val="000000"/>
                <w:sz w:val="24"/>
                <w:szCs w:val="24"/>
              </w:rPr>
              <w:t>Internet Protocol Television</w:t>
            </w:r>
          </w:p>
        </w:tc>
        <w:tc>
          <w:tcPr>
            <w:tcW w:w="3637" w:type="dxa"/>
            <w:tcBorders>
              <w:top w:val="single" w:sz="4" w:space="0" w:color="auto"/>
              <w:left w:val="single" w:sz="4" w:space="0" w:color="auto"/>
              <w:bottom w:val="single" w:sz="4" w:space="0" w:color="auto"/>
              <w:right w:val="single" w:sz="4" w:space="0" w:color="auto"/>
            </w:tcBorders>
            <w:vAlign w:val="center"/>
          </w:tcPr>
          <w:p w:rsidR="00DA02B9" w:rsidRDefault="003229D3">
            <w:pPr>
              <w:widowControl/>
              <w:jc w:val="lef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交互式网络电视</w:t>
            </w:r>
          </w:p>
        </w:tc>
      </w:tr>
      <w:tr w:rsidR="00DA02B9">
        <w:trPr>
          <w:trHeight w:val="270"/>
        </w:trPr>
        <w:tc>
          <w:tcPr>
            <w:tcW w:w="1196" w:type="dxa"/>
            <w:tcBorders>
              <w:top w:val="single" w:sz="4" w:space="0" w:color="auto"/>
              <w:left w:val="single" w:sz="4" w:space="0" w:color="auto"/>
              <w:bottom w:val="single" w:sz="4" w:space="0" w:color="auto"/>
              <w:right w:val="single" w:sz="4" w:space="0" w:color="auto"/>
            </w:tcBorders>
            <w:vAlign w:val="center"/>
          </w:tcPr>
          <w:p w:rsidR="00DA02B9" w:rsidRDefault="003229D3">
            <w:pPr>
              <w:widowControl/>
              <w:jc w:val="left"/>
              <w:rPr>
                <w:rFonts w:ascii="仿宋_GB2312" w:eastAsia="仿宋_GB2312" w:hAnsi="仿宋_GB2312" w:cs="仿宋_GB2312"/>
                <w:color w:val="000000"/>
                <w:sz w:val="24"/>
                <w:szCs w:val="24"/>
              </w:rPr>
            </w:pPr>
            <w:r>
              <w:rPr>
                <w:rFonts w:ascii="仿宋_GB2312" w:eastAsia="仿宋_GB2312" w:hAnsi="仿宋_GB2312" w:cs="仿宋_GB2312"/>
                <w:color w:val="000000"/>
                <w:sz w:val="24"/>
                <w:szCs w:val="24"/>
              </w:rPr>
              <w:t>5G</w:t>
            </w:r>
          </w:p>
        </w:tc>
        <w:tc>
          <w:tcPr>
            <w:tcW w:w="4163" w:type="dxa"/>
            <w:tcBorders>
              <w:top w:val="single" w:sz="4" w:space="0" w:color="auto"/>
              <w:left w:val="single" w:sz="4" w:space="0" w:color="auto"/>
              <w:bottom w:val="single" w:sz="4" w:space="0" w:color="auto"/>
              <w:right w:val="single" w:sz="4" w:space="0" w:color="auto"/>
            </w:tcBorders>
            <w:vAlign w:val="center"/>
          </w:tcPr>
          <w:p w:rsidR="00DA02B9" w:rsidRDefault="003229D3">
            <w:pPr>
              <w:widowControl/>
              <w:jc w:val="left"/>
              <w:rPr>
                <w:rFonts w:ascii="仿宋_GB2312" w:eastAsia="仿宋_GB2312" w:hAnsi="仿宋_GB2312" w:cs="仿宋_GB2312"/>
                <w:color w:val="000000"/>
                <w:sz w:val="24"/>
                <w:szCs w:val="24"/>
              </w:rPr>
            </w:pPr>
            <w:r>
              <w:rPr>
                <w:rFonts w:ascii="仿宋_GB2312" w:eastAsia="仿宋_GB2312" w:hAnsi="仿宋_GB2312" w:hint="eastAsia"/>
                <w:color w:val="000000"/>
                <w:kern w:val="0"/>
                <w:sz w:val="24"/>
              </w:rPr>
              <w:t>5</w:t>
            </w:r>
            <w:r>
              <w:rPr>
                <w:rFonts w:ascii="仿宋_GB2312" w:eastAsia="仿宋_GB2312" w:hAnsi="仿宋_GB2312" w:hint="eastAsia"/>
                <w:color w:val="000000"/>
                <w:kern w:val="0"/>
                <w:sz w:val="24"/>
                <w:vertAlign w:val="superscript"/>
              </w:rPr>
              <w:t>th</w:t>
            </w:r>
            <w:r>
              <w:rPr>
                <w:rFonts w:ascii="仿宋_GB2312" w:eastAsia="仿宋_GB2312" w:hAnsi="仿宋_GB2312" w:hint="eastAsia"/>
                <w:color w:val="000000"/>
                <w:kern w:val="0"/>
                <w:sz w:val="24"/>
              </w:rPr>
              <w:t>-Generation</w:t>
            </w:r>
          </w:p>
        </w:tc>
        <w:tc>
          <w:tcPr>
            <w:tcW w:w="3637" w:type="dxa"/>
            <w:tcBorders>
              <w:top w:val="single" w:sz="4" w:space="0" w:color="auto"/>
              <w:left w:val="single" w:sz="4" w:space="0" w:color="auto"/>
              <w:bottom w:val="single" w:sz="4" w:space="0" w:color="auto"/>
              <w:right w:val="single" w:sz="4" w:space="0" w:color="auto"/>
            </w:tcBorders>
            <w:vAlign w:val="center"/>
          </w:tcPr>
          <w:p w:rsidR="00DA02B9" w:rsidRDefault="003229D3">
            <w:pPr>
              <w:widowControl/>
              <w:jc w:val="lef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第五代移动通信</w:t>
            </w:r>
          </w:p>
        </w:tc>
      </w:tr>
      <w:tr w:rsidR="00DA02B9">
        <w:trPr>
          <w:trHeight w:val="270"/>
        </w:trPr>
        <w:tc>
          <w:tcPr>
            <w:tcW w:w="1196" w:type="dxa"/>
            <w:tcBorders>
              <w:top w:val="single" w:sz="4" w:space="0" w:color="auto"/>
              <w:left w:val="single" w:sz="4" w:space="0" w:color="auto"/>
              <w:bottom w:val="single" w:sz="4" w:space="0" w:color="auto"/>
              <w:right w:val="single" w:sz="4" w:space="0" w:color="auto"/>
            </w:tcBorders>
            <w:vAlign w:val="center"/>
          </w:tcPr>
          <w:p w:rsidR="00DA02B9" w:rsidRDefault="003229D3">
            <w:pPr>
              <w:widowControl/>
              <w:jc w:val="left"/>
              <w:rPr>
                <w:rFonts w:ascii="仿宋_GB2312" w:eastAsia="仿宋_GB2312" w:hAnsi="仿宋_GB2312" w:cs="仿宋_GB2312"/>
                <w:color w:val="000000"/>
                <w:sz w:val="24"/>
                <w:szCs w:val="24"/>
              </w:rPr>
            </w:pPr>
            <w:r>
              <w:rPr>
                <w:rFonts w:ascii="仿宋_GB2312" w:eastAsia="仿宋_GB2312" w:hAnsi="仿宋_GB2312" w:cs="仿宋_GB2312"/>
                <w:color w:val="000000"/>
                <w:sz w:val="24"/>
                <w:szCs w:val="24"/>
              </w:rPr>
              <w:t>CDN</w:t>
            </w:r>
          </w:p>
        </w:tc>
        <w:tc>
          <w:tcPr>
            <w:tcW w:w="4163" w:type="dxa"/>
            <w:tcBorders>
              <w:top w:val="single" w:sz="4" w:space="0" w:color="auto"/>
              <w:left w:val="single" w:sz="4" w:space="0" w:color="auto"/>
              <w:bottom w:val="single" w:sz="4" w:space="0" w:color="auto"/>
              <w:right w:val="single" w:sz="4" w:space="0" w:color="auto"/>
            </w:tcBorders>
            <w:vAlign w:val="center"/>
          </w:tcPr>
          <w:p w:rsidR="00DA02B9" w:rsidRDefault="003229D3">
            <w:pPr>
              <w:widowControl/>
              <w:jc w:val="left"/>
              <w:rPr>
                <w:rFonts w:ascii="仿宋_GB2312" w:eastAsia="仿宋_GB2312" w:hAnsi="仿宋_GB2312" w:cs="仿宋_GB2312"/>
                <w:color w:val="000000"/>
                <w:sz w:val="24"/>
                <w:szCs w:val="24"/>
              </w:rPr>
            </w:pPr>
            <w:r>
              <w:rPr>
                <w:rFonts w:ascii="仿宋_GB2312" w:eastAsia="仿宋_GB2312" w:hAnsi="仿宋_GB2312" w:cs="仿宋_GB2312"/>
                <w:color w:val="000000"/>
                <w:sz w:val="24"/>
                <w:szCs w:val="24"/>
              </w:rPr>
              <w:t xml:space="preserve">Content </w:t>
            </w:r>
            <w:r>
              <w:rPr>
                <w:rFonts w:ascii="仿宋_GB2312" w:eastAsia="仿宋_GB2312" w:hAnsi="仿宋_GB2312" w:cs="仿宋_GB2312"/>
                <w:color w:val="000000"/>
                <w:sz w:val="24"/>
                <w:szCs w:val="24"/>
              </w:rPr>
              <w:t>Delivery Network</w:t>
            </w:r>
          </w:p>
        </w:tc>
        <w:tc>
          <w:tcPr>
            <w:tcW w:w="3637" w:type="dxa"/>
            <w:tcBorders>
              <w:top w:val="single" w:sz="4" w:space="0" w:color="auto"/>
              <w:left w:val="single" w:sz="4" w:space="0" w:color="auto"/>
              <w:bottom w:val="single" w:sz="4" w:space="0" w:color="auto"/>
              <w:right w:val="single" w:sz="4" w:space="0" w:color="auto"/>
            </w:tcBorders>
            <w:vAlign w:val="center"/>
          </w:tcPr>
          <w:p w:rsidR="00DA02B9" w:rsidRDefault="003229D3">
            <w:pPr>
              <w:widowControl/>
              <w:jc w:val="lef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内容分发网络</w:t>
            </w:r>
          </w:p>
        </w:tc>
      </w:tr>
      <w:tr w:rsidR="00DA02B9">
        <w:trPr>
          <w:trHeight w:val="270"/>
        </w:trPr>
        <w:tc>
          <w:tcPr>
            <w:tcW w:w="1196" w:type="dxa"/>
            <w:tcBorders>
              <w:top w:val="single" w:sz="4" w:space="0" w:color="auto"/>
              <w:left w:val="single" w:sz="4" w:space="0" w:color="auto"/>
              <w:bottom w:val="single" w:sz="4" w:space="0" w:color="auto"/>
              <w:right w:val="single" w:sz="4" w:space="0" w:color="auto"/>
            </w:tcBorders>
            <w:vAlign w:val="center"/>
          </w:tcPr>
          <w:p w:rsidR="00DA02B9" w:rsidRDefault="003229D3">
            <w:pPr>
              <w:widowControl/>
              <w:jc w:val="left"/>
              <w:rPr>
                <w:rFonts w:ascii="仿宋_GB2312" w:eastAsia="仿宋_GB2312" w:hAnsi="仿宋_GB2312" w:cs="仿宋_GB2312"/>
                <w:color w:val="000000"/>
                <w:sz w:val="24"/>
                <w:szCs w:val="24"/>
              </w:rPr>
            </w:pPr>
            <w:r>
              <w:rPr>
                <w:rFonts w:ascii="仿宋_GB2312" w:eastAsia="仿宋_GB2312" w:hAnsi="仿宋_GB2312" w:cs="仿宋_GB2312"/>
                <w:color w:val="000000"/>
                <w:sz w:val="24"/>
                <w:szCs w:val="24"/>
              </w:rPr>
              <w:t>SDN</w:t>
            </w:r>
          </w:p>
        </w:tc>
        <w:tc>
          <w:tcPr>
            <w:tcW w:w="4163" w:type="dxa"/>
            <w:tcBorders>
              <w:top w:val="single" w:sz="4" w:space="0" w:color="auto"/>
              <w:left w:val="single" w:sz="4" w:space="0" w:color="auto"/>
              <w:bottom w:val="single" w:sz="4" w:space="0" w:color="auto"/>
              <w:right w:val="single" w:sz="4" w:space="0" w:color="auto"/>
            </w:tcBorders>
            <w:vAlign w:val="center"/>
          </w:tcPr>
          <w:p w:rsidR="00DA02B9" w:rsidRDefault="003229D3">
            <w:pPr>
              <w:widowControl/>
              <w:jc w:val="left"/>
              <w:rPr>
                <w:rFonts w:ascii="仿宋_GB2312" w:eastAsia="仿宋_GB2312" w:hAnsi="仿宋_GB2312" w:cs="仿宋_GB2312"/>
                <w:color w:val="000000"/>
                <w:sz w:val="24"/>
                <w:szCs w:val="24"/>
              </w:rPr>
            </w:pPr>
            <w:r>
              <w:rPr>
                <w:rFonts w:ascii="仿宋_GB2312" w:eastAsia="仿宋_GB2312" w:hAnsi="仿宋_GB2312" w:cs="仿宋_GB2312"/>
                <w:color w:val="000000"/>
                <w:sz w:val="24"/>
                <w:szCs w:val="24"/>
              </w:rPr>
              <w:t>Software Defined Network</w:t>
            </w:r>
          </w:p>
        </w:tc>
        <w:tc>
          <w:tcPr>
            <w:tcW w:w="3637" w:type="dxa"/>
            <w:tcBorders>
              <w:top w:val="single" w:sz="4" w:space="0" w:color="auto"/>
              <w:left w:val="single" w:sz="4" w:space="0" w:color="auto"/>
              <w:bottom w:val="single" w:sz="4" w:space="0" w:color="auto"/>
              <w:right w:val="single" w:sz="4" w:space="0" w:color="auto"/>
            </w:tcBorders>
            <w:vAlign w:val="center"/>
          </w:tcPr>
          <w:p w:rsidR="00DA02B9" w:rsidRDefault="003229D3">
            <w:pPr>
              <w:widowControl/>
              <w:jc w:val="lef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软件定义网络</w:t>
            </w:r>
          </w:p>
        </w:tc>
      </w:tr>
      <w:tr w:rsidR="00DA02B9">
        <w:trPr>
          <w:trHeight w:val="272"/>
        </w:trPr>
        <w:tc>
          <w:tcPr>
            <w:tcW w:w="1196" w:type="dxa"/>
            <w:tcBorders>
              <w:top w:val="single" w:sz="4" w:space="0" w:color="auto"/>
              <w:left w:val="single" w:sz="4" w:space="0" w:color="auto"/>
              <w:bottom w:val="single" w:sz="4" w:space="0" w:color="auto"/>
              <w:right w:val="single" w:sz="4" w:space="0" w:color="auto"/>
            </w:tcBorders>
            <w:vAlign w:val="center"/>
          </w:tcPr>
          <w:p w:rsidR="00DA02B9" w:rsidRDefault="003229D3">
            <w:pPr>
              <w:widowControl/>
              <w:jc w:val="left"/>
              <w:rPr>
                <w:rFonts w:ascii="仿宋_GB2312" w:eastAsia="仿宋_GB2312" w:hAnsi="仿宋_GB2312" w:cs="仿宋_GB2312"/>
                <w:color w:val="000000"/>
                <w:sz w:val="24"/>
                <w:szCs w:val="24"/>
              </w:rPr>
            </w:pPr>
            <w:r>
              <w:rPr>
                <w:rFonts w:ascii="仿宋_GB2312" w:eastAsia="仿宋_GB2312" w:hAnsi="仿宋_GB2312" w:cs="仿宋_GB2312"/>
                <w:color w:val="000000"/>
                <w:sz w:val="24"/>
                <w:szCs w:val="24"/>
              </w:rPr>
              <w:t>NFV</w:t>
            </w:r>
          </w:p>
        </w:tc>
        <w:tc>
          <w:tcPr>
            <w:tcW w:w="4163" w:type="dxa"/>
            <w:tcBorders>
              <w:top w:val="single" w:sz="4" w:space="0" w:color="auto"/>
              <w:left w:val="single" w:sz="4" w:space="0" w:color="auto"/>
              <w:bottom w:val="single" w:sz="4" w:space="0" w:color="auto"/>
              <w:right w:val="single" w:sz="4" w:space="0" w:color="auto"/>
            </w:tcBorders>
            <w:vAlign w:val="center"/>
          </w:tcPr>
          <w:p w:rsidR="00DA02B9" w:rsidRDefault="003229D3">
            <w:pPr>
              <w:widowControl/>
              <w:jc w:val="left"/>
              <w:rPr>
                <w:rFonts w:ascii="仿宋_GB2312" w:eastAsia="仿宋_GB2312" w:hAnsi="仿宋_GB2312" w:cs="仿宋_GB2312"/>
                <w:color w:val="000000"/>
                <w:sz w:val="24"/>
                <w:szCs w:val="24"/>
              </w:rPr>
            </w:pPr>
            <w:r>
              <w:rPr>
                <w:rFonts w:ascii="仿宋_GB2312" w:eastAsia="仿宋_GB2312" w:hAnsi="仿宋_GB2312" w:cs="仿宋_GB2312"/>
                <w:color w:val="000000"/>
                <w:sz w:val="24"/>
                <w:szCs w:val="24"/>
              </w:rPr>
              <w:t>Network Function Virtualization</w:t>
            </w:r>
          </w:p>
        </w:tc>
        <w:tc>
          <w:tcPr>
            <w:tcW w:w="3637" w:type="dxa"/>
            <w:tcBorders>
              <w:top w:val="single" w:sz="4" w:space="0" w:color="auto"/>
              <w:left w:val="single" w:sz="4" w:space="0" w:color="auto"/>
              <w:bottom w:val="single" w:sz="4" w:space="0" w:color="auto"/>
              <w:right w:val="single" w:sz="4" w:space="0" w:color="auto"/>
            </w:tcBorders>
            <w:vAlign w:val="center"/>
          </w:tcPr>
          <w:p w:rsidR="00DA02B9" w:rsidRDefault="003229D3">
            <w:pPr>
              <w:widowControl/>
              <w:jc w:val="lef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网络功能虚拟化</w:t>
            </w:r>
          </w:p>
        </w:tc>
      </w:tr>
      <w:tr w:rsidR="00DA02B9">
        <w:trPr>
          <w:trHeight w:val="243"/>
        </w:trPr>
        <w:tc>
          <w:tcPr>
            <w:tcW w:w="1196" w:type="dxa"/>
            <w:tcBorders>
              <w:top w:val="single" w:sz="4" w:space="0" w:color="auto"/>
              <w:left w:val="single" w:sz="4" w:space="0" w:color="auto"/>
              <w:bottom w:val="single" w:sz="4" w:space="0" w:color="auto"/>
              <w:right w:val="single" w:sz="4" w:space="0" w:color="auto"/>
            </w:tcBorders>
            <w:vAlign w:val="center"/>
          </w:tcPr>
          <w:p w:rsidR="00DA02B9" w:rsidRDefault="003229D3">
            <w:pPr>
              <w:jc w:val="left"/>
              <w:rPr>
                <w:rFonts w:ascii="仿宋_GB2312" w:eastAsia="仿宋_GB2312" w:hAnsi="仿宋_GB2312" w:cs="仿宋_GB2312"/>
                <w:color w:val="000000"/>
                <w:sz w:val="24"/>
                <w:szCs w:val="24"/>
              </w:rPr>
            </w:pPr>
            <w:r>
              <w:rPr>
                <w:rFonts w:ascii="仿宋_GB2312" w:eastAsia="仿宋_GB2312" w:hAnsi="仿宋_GB2312" w:cs="仿宋_GB2312"/>
                <w:color w:val="000000"/>
                <w:sz w:val="24"/>
                <w:szCs w:val="24"/>
              </w:rPr>
              <w:t>ICT</w:t>
            </w:r>
          </w:p>
        </w:tc>
        <w:tc>
          <w:tcPr>
            <w:tcW w:w="4163" w:type="dxa"/>
            <w:tcBorders>
              <w:top w:val="single" w:sz="4" w:space="0" w:color="auto"/>
              <w:left w:val="single" w:sz="4" w:space="0" w:color="auto"/>
              <w:bottom w:val="single" w:sz="4" w:space="0" w:color="auto"/>
              <w:right w:val="single" w:sz="4" w:space="0" w:color="auto"/>
            </w:tcBorders>
            <w:vAlign w:val="center"/>
          </w:tcPr>
          <w:p w:rsidR="00DA02B9" w:rsidRDefault="003229D3">
            <w:pPr>
              <w:jc w:val="left"/>
              <w:rPr>
                <w:rFonts w:ascii="仿宋_GB2312" w:eastAsia="仿宋_GB2312" w:hAnsi="仿宋_GB2312" w:cs="仿宋_GB2312"/>
                <w:color w:val="000000"/>
                <w:sz w:val="24"/>
                <w:szCs w:val="24"/>
              </w:rPr>
            </w:pPr>
            <w:r>
              <w:rPr>
                <w:rFonts w:ascii="仿宋_GB2312" w:eastAsia="仿宋_GB2312" w:hAnsi="仿宋_GB2312" w:cs="仿宋_GB2312"/>
                <w:color w:val="000000"/>
                <w:sz w:val="24"/>
                <w:szCs w:val="24"/>
              </w:rPr>
              <w:t>Information Communications Technology</w:t>
            </w:r>
          </w:p>
        </w:tc>
        <w:tc>
          <w:tcPr>
            <w:tcW w:w="3637" w:type="dxa"/>
            <w:tcBorders>
              <w:top w:val="single" w:sz="4" w:space="0" w:color="auto"/>
              <w:left w:val="single" w:sz="4" w:space="0" w:color="auto"/>
              <w:bottom w:val="single" w:sz="4" w:space="0" w:color="auto"/>
              <w:right w:val="single" w:sz="4" w:space="0" w:color="auto"/>
            </w:tcBorders>
            <w:vAlign w:val="center"/>
          </w:tcPr>
          <w:p w:rsidR="00DA02B9" w:rsidRDefault="003229D3">
            <w:pPr>
              <w:jc w:val="lef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信息通信技术</w:t>
            </w:r>
          </w:p>
        </w:tc>
      </w:tr>
      <w:tr w:rsidR="00DA02B9">
        <w:trPr>
          <w:trHeight w:val="271"/>
        </w:trPr>
        <w:tc>
          <w:tcPr>
            <w:tcW w:w="1196" w:type="dxa"/>
            <w:tcBorders>
              <w:top w:val="single" w:sz="4" w:space="0" w:color="auto"/>
              <w:left w:val="single" w:sz="4" w:space="0" w:color="auto"/>
              <w:bottom w:val="single" w:sz="4" w:space="0" w:color="auto"/>
              <w:right w:val="single" w:sz="4" w:space="0" w:color="auto"/>
            </w:tcBorders>
            <w:vAlign w:val="center"/>
          </w:tcPr>
          <w:p w:rsidR="00DA02B9" w:rsidRDefault="003229D3">
            <w:pPr>
              <w:widowControl/>
              <w:jc w:val="left"/>
              <w:rPr>
                <w:rFonts w:ascii="仿宋_GB2312" w:eastAsia="仿宋_GB2312" w:hAnsi="仿宋_GB2312" w:cs="仿宋_GB2312"/>
                <w:color w:val="000000"/>
                <w:sz w:val="24"/>
                <w:szCs w:val="24"/>
              </w:rPr>
            </w:pPr>
            <w:r>
              <w:rPr>
                <w:rFonts w:ascii="仿宋_GB2312" w:eastAsia="仿宋_GB2312" w:hAnsi="仿宋_GB2312" w:cs="仿宋_GB2312"/>
                <w:color w:val="000000"/>
                <w:sz w:val="24"/>
                <w:szCs w:val="24"/>
              </w:rPr>
              <w:t>IDI</w:t>
            </w:r>
          </w:p>
        </w:tc>
        <w:tc>
          <w:tcPr>
            <w:tcW w:w="4163" w:type="dxa"/>
            <w:tcBorders>
              <w:top w:val="single" w:sz="4" w:space="0" w:color="auto"/>
              <w:left w:val="single" w:sz="4" w:space="0" w:color="auto"/>
              <w:bottom w:val="single" w:sz="4" w:space="0" w:color="auto"/>
              <w:right w:val="single" w:sz="4" w:space="0" w:color="auto"/>
            </w:tcBorders>
            <w:vAlign w:val="center"/>
          </w:tcPr>
          <w:p w:rsidR="00DA02B9" w:rsidRDefault="003229D3">
            <w:pPr>
              <w:widowControl/>
              <w:jc w:val="left"/>
              <w:rPr>
                <w:rFonts w:ascii="仿宋_GB2312" w:eastAsia="仿宋_GB2312" w:hAnsi="仿宋_GB2312" w:cs="仿宋_GB2312"/>
                <w:color w:val="000000"/>
                <w:sz w:val="24"/>
                <w:szCs w:val="24"/>
              </w:rPr>
            </w:pPr>
            <w:r>
              <w:rPr>
                <w:rFonts w:ascii="仿宋_GB2312" w:eastAsia="仿宋_GB2312" w:hAnsi="仿宋_GB2312" w:cs="仿宋_GB2312"/>
                <w:color w:val="000000"/>
                <w:sz w:val="24"/>
                <w:szCs w:val="24"/>
              </w:rPr>
              <w:t>ICT Development Index</w:t>
            </w:r>
          </w:p>
        </w:tc>
        <w:tc>
          <w:tcPr>
            <w:tcW w:w="3637" w:type="dxa"/>
            <w:tcBorders>
              <w:top w:val="single" w:sz="4" w:space="0" w:color="auto"/>
              <w:left w:val="single" w:sz="4" w:space="0" w:color="auto"/>
              <w:bottom w:val="single" w:sz="4" w:space="0" w:color="auto"/>
              <w:right w:val="single" w:sz="4" w:space="0" w:color="auto"/>
            </w:tcBorders>
            <w:vAlign w:val="center"/>
          </w:tcPr>
          <w:p w:rsidR="00DA02B9" w:rsidRDefault="003229D3">
            <w:pPr>
              <w:widowControl/>
              <w:jc w:val="lef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信息与通信技术发展指数</w:t>
            </w:r>
          </w:p>
        </w:tc>
      </w:tr>
      <w:tr w:rsidR="00DA02B9">
        <w:trPr>
          <w:trHeight w:val="311"/>
        </w:trPr>
        <w:tc>
          <w:tcPr>
            <w:tcW w:w="1196" w:type="dxa"/>
            <w:tcBorders>
              <w:top w:val="single" w:sz="4" w:space="0" w:color="auto"/>
              <w:left w:val="single" w:sz="4" w:space="0" w:color="auto"/>
              <w:bottom w:val="single" w:sz="4" w:space="0" w:color="auto"/>
              <w:right w:val="single" w:sz="4" w:space="0" w:color="auto"/>
            </w:tcBorders>
            <w:vAlign w:val="center"/>
          </w:tcPr>
          <w:p w:rsidR="00DA02B9" w:rsidRDefault="003229D3">
            <w:pPr>
              <w:jc w:val="left"/>
              <w:rPr>
                <w:rFonts w:ascii="仿宋_GB2312" w:eastAsia="仿宋_GB2312" w:hAnsi="仿宋_GB2312" w:cs="仿宋_GB2312"/>
                <w:color w:val="000000"/>
                <w:sz w:val="24"/>
                <w:szCs w:val="24"/>
              </w:rPr>
            </w:pPr>
            <w:r>
              <w:rPr>
                <w:rFonts w:ascii="仿宋_GB2312" w:eastAsia="仿宋_GB2312" w:hAnsi="仿宋_GB2312" w:cs="仿宋_GB2312"/>
                <w:color w:val="000000"/>
                <w:sz w:val="24"/>
                <w:szCs w:val="24"/>
              </w:rPr>
              <w:t>3D</w:t>
            </w:r>
          </w:p>
        </w:tc>
        <w:tc>
          <w:tcPr>
            <w:tcW w:w="4163" w:type="dxa"/>
            <w:tcBorders>
              <w:top w:val="single" w:sz="4" w:space="0" w:color="auto"/>
              <w:left w:val="single" w:sz="4" w:space="0" w:color="auto"/>
              <w:bottom w:val="single" w:sz="4" w:space="0" w:color="auto"/>
              <w:right w:val="single" w:sz="4" w:space="0" w:color="auto"/>
            </w:tcBorders>
            <w:vAlign w:val="center"/>
          </w:tcPr>
          <w:p w:rsidR="00DA02B9" w:rsidRDefault="003229D3">
            <w:pPr>
              <w:widowControl/>
              <w:jc w:val="left"/>
              <w:rPr>
                <w:rFonts w:ascii="仿宋_GB2312" w:eastAsia="仿宋_GB2312" w:hAnsi="仿宋_GB2312" w:cs="仿宋_GB2312"/>
                <w:color w:val="000000"/>
                <w:sz w:val="24"/>
                <w:szCs w:val="24"/>
              </w:rPr>
            </w:pPr>
            <w:r>
              <w:rPr>
                <w:rFonts w:ascii="仿宋_GB2312" w:eastAsia="仿宋_GB2312" w:hAnsi="仿宋_GB2312" w:cs="仿宋_GB2312"/>
                <w:color w:val="000000"/>
                <w:sz w:val="24"/>
                <w:szCs w:val="24"/>
              </w:rPr>
              <w:t>three dimensional</w:t>
            </w:r>
          </w:p>
        </w:tc>
        <w:tc>
          <w:tcPr>
            <w:tcW w:w="3637" w:type="dxa"/>
            <w:tcBorders>
              <w:top w:val="single" w:sz="4" w:space="0" w:color="auto"/>
              <w:left w:val="single" w:sz="4" w:space="0" w:color="auto"/>
              <w:bottom w:val="single" w:sz="4" w:space="0" w:color="auto"/>
              <w:right w:val="single" w:sz="4" w:space="0" w:color="auto"/>
            </w:tcBorders>
            <w:vAlign w:val="center"/>
          </w:tcPr>
          <w:p w:rsidR="00DA02B9" w:rsidRDefault="003229D3">
            <w:pPr>
              <w:widowControl/>
              <w:jc w:val="lef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三维的</w:t>
            </w:r>
          </w:p>
        </w:tc>
      </w:tr>
      <w:tr w:rsidR="00DA02B9">
        <w:trPr>
          <w:trHeight w:val="270"/>
        </w:trPr>
        <w:tc>
          <w:tcPr>
            <w:tcW w:w="1196" w:type="dxa"/>
            <w:tcBorders>
              <w:top w:val="single" w:sz="4" w:space="0" w:color="auto"/>
              <w:left w:val="single" w:sz="4" w:space="0" w:color="auto"/>
              <w:bottom w:val="single" w:sz="4" w:space="0" w:color="auto"/>
              <w:right w:val="single" w:sz="4" w:space="0" w:color="auto"/>
            </w:tcBorders>
            <w:vAlign w:val="center"/>
          </w:tcPr>
          <w:p w:rsidR="00DA02B9" w:rsidRDefault="003229D3">
            <w:pPr>
              <w:widowControl/>
              <w:jc w:val="left"/>
              <w:rPr>
                <w:rFonts w:ascii="仿宋_GB2312" w:eastAsia="仿宋_GB2312" w:hAnsi="仿宋_GB2312" w:cs="仿宋_GB2312"/>
                <w:color w:val="000000"/>
                <w:sz w:val="24"/>
                <w:szCs w:val="24"/>
              </w:rPr>
            </w:pPr>
            <w:r>
              <w:rPr>
                <w:rFonts w:ascii="仿宋_GB2312" w:eastAsia="仿宋_GB2312" w:hAnsi="仿宋_GB2312" w:cs="仿宋_GB2312"/>
                <w:color w:val="000000"/>
                <w:sz w:val="24"/>
                <w:szCs w:val="24"/>
              </w:rPr>
              <w:t>WLAN</w:t>
            </w:r>
          </w:p>
        </w:tc>
        <w:tc>
          <w:tcPr>
            <w:tcW w:w="4163" w:type="dxa"/>
            <w:tcBorders>
              <w:top w:val="single" w:sz="4" w:space="0" w:color="auto"/>
              <w:left w:val="single" w:sz="4" w:space="0" w:color="auto"/>
              <w:bottom w:val="single" w:sz="4" w:space="0" w:color="auto"/>
              <w:right w:val="single" w:sz="4" w:space="0" w:color="auto"/>
            </w:tcBorders>
            <w:vAlign w:val="center"/>
          </w:tcPr>
          <w:p w:rsidR="00DA02B9" w:rsidRDefault="003229D3">
            <w:pPr>
              <w:widowControl/>
              <w:jc w:val="left"/>
              <w:rPr>
                <w:rFonts w:ascii="仿宋_GB2312" w:eastAsia="仿宋_GB2312" w:hAnsi="仿宋_GB2312" w:cs="仿宋_GB2312"/>
                <w:color w:val="000000"/>
                <w:sz w:val="24"/>
                <w:szCs w:val="24"/>
              </w:rPr>
            </w:pPr>
            <w:r>
              <w:rPr>
                <w:rFonts w:ascii="仿宋_GB2312" w:eastAsia="仿宋_GB2312" w:hAnsi="仿宋_GB2312" w:cs="仿宋_GB2312"/>
                <w:color w:val="000000"/>
                <w:sz w:val="24"/>
                <w:szCs w:val="24"/>
              </w:rPr>
              <w:t>Wireless Local Area Networks</w:t>
            </w:r>
          </w:p>
        </w:tc>
        <w:tc>
          <w:tcPr>
            <w:tcW w:w="3637" w:type="dxa"/>
            <w:tcBorders>
              <w:top w:val="single" w:sz="4" w:space="0" w:color="auto"/>
              <w:left w:val="single" w:sz="4" w:space="0" w:color="auto"/>
              <w:bottom w:val="single" w:sz="4" w:space="0" w:color="auto"/>
              <w:right w:val="single" w:sz="4" w:space="0" w:color="auto"/>
            </w:tcBorders>
            <w:vAlign w:val="center"/>
          </w:tcPr>
          <w:p w:rsidR="00DA02B9" w:rsidRDefault="003229D3">
            <w:pPr>
              <w:widowControl/>
              <w:jc w:val="lef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无线局域网络</w:t>
            </w:r>
          </w:p>
        </w:tc>
      </w:tr>
      <w:tr w:rsidR="00DA02B9">
        <w:trPr>
          <w:trHeight w:val="270"/>
        </w:trPr>
        <w:tc>
          <w:tcPr>
            <w:tcW w:w="1196" w:type="dxa"/>
            <w:tcBorders>
              <w:top w:val="single" w:sz="4" w:space="0" w:color="auto"/>
              <w:left w:val="single" w:sz="4" w:space="0" w:color="auto"/>
              <w:bottom w:val="single" w:sz="4" w:space="0" w:color="auto"/>
              <w:right w:val="single" w:sz="4" w:space="0" w:color="auto"/>
            </w:tcBorders>
            <w:vAlign w:val="center"/>
          </w:tcPr>
          <w:p w:rsidR="00DA02B9" w:rsidRDefault="003229D3">
            <w:pPr>
              <w:widowControl/>
              <w:jc w:val="left"/>
              <w:rPr>
                <w:rFonts w:ascii="仿宋_GB2312" w:eastAsia="仿宋_GB2312" w:hAnsi="仿宋_GB2312" w:cs="仿宋_GB2312"/>
                <w:color w:val="000000"/>
                <w:sz w:val="24"/>
                <w:szCs w:val="24"/>
              </w:rPr>
            </w:pPr>
            <w:r>
              <w:rPr>
                <w:rFonts w:ascii="仿宋_GB2312" w:eastAsia="仿宋_GB2312" w:hAnsi="仿宋_GB2312" w:cs="仿宋_GB2312"/>
                <w:color w:val="000000"/>
                <w:sz w:val="24"/>
                <w:szCs w:val="24"/>
              </w:rPr>
              <w:t>IDC</w:t>
            </w:r>
          </w:p>
        </w:tc>
        <w:tc>
          <w:tcPr>
            <w:tcW w:w="4163" w:type="dxa"/>
            <w:tcBorders>
              <w:top w:val="single" w:sz="4" w:space="0" w:color="auto"/>
              <w:left w:val="single" w:sz="4" w:space="0" w:color="auto"/>
              <w:bottom w:val="single" w:sz="4" w:space="0" w:color="auto"/>
              <w:right w:val="single" w:sz="4" w:space="0" w:color="auto"/>
            </w:tcBorders>
            <w:vAlign w:val="center"/>
          </w:tcPr>
          <w:p w:rsidR="00DA02B9" w:rsidRDefault="003229D3">
            <w:pPr>
              <w:widowControl/>
              <w:jc w:val="left"/>
              <w:rPr>
                <w:rFonts w:ascii="仿宋_GB2312" w:eastAsia="仿宋_GB2312" w:hAnsi="仿宋_GB2312" w:cs="仿宋_GB2312"/>
                <w:color w:val="000000"/>
                <w:sz w:val="24"/>
                <w:szCs w:val="24"/>
              </w:rPr>
            </w:pPr>
            <w:r>
              <w:rPr>
                <w:rFonts w:ascii="仿宋_GB2312" w:eastAsia="仿宋_GB2312" w:hAnsi="仿宋_GB2312" w:cs="仿宋_GB2312"/>
                <w:color w:val="000000"/>
                <w:sz w:val="24"/>
                <w:szCs w:val="24"/>
              </w:rPr>
              <w:t>Internet Data Center</w:t>
            </w:r>
          </w:p>
        </w:tc>
        <w:tc>
          <w:tcPr>
            <w:tcW w:w="3637" w:type="dxa"/>
            <w:tcBorders>
              <w:top w:val="single" w:sz="4" w:space="0" w:color="auto"/>
              <w:left w:val="single" w:sz="4" w:space="0" w:color="auto"/>
              <w:bottom w:val="single" w:sz="4" w:space="0" w:color="auto"/>
              <w:right w:val="single" w:sz="4" w:space="0" w:color="auto"/>
            </w:tcBorders>
            <w:vAlign w:val="center"/>
          </w:tcPr>
          <w:p w:rsidR="00DA02B9" w:rsidRDefault="003229D3">
            <w:pPr>
              <w:widowControl/>
              <w:jc w:val="lef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互联网数据中心</w:t>
            </w:r>
          </w:p>
        </w:tc>
      </w:tr>
      <w:tr w:rsidR="00DA02B9">
        <w:trPr>
          <w:trHeight w:val="270"/>
        </w:trPr>
        <w:tc>
          <w:tcPr>
            <w:tcW w:w="1196" w:type="dxa"/>
            <w:tcBorders>
              <w:top w:val="single" w:sz="4" w:space="0" w:color="auto"/>
              <w:left w:val="single" w:sz="4" w:space="0" w:color="auto"/>
              <w:bottom w:val="single" w:sz="4" w:space="0" w:color="auto"/>
              <w:right w:val="single" w:sz="4" w:space="0" w:color="auto"/>
            </w:tcBorders>
            <w:vAlign w:val="center"/>
          </w:tcPr>
          <w:p w:rsidR="00DA02B9" w:rsidRDefault="003229D3">
            <w:pPr>
              <w:widowControl/>
              <w:jc w:val="left"/>
              <w:rPr>
                <w:rFonts w:ascii="仿宋_GB2312" w:eastAsia="仿宋_GB2312" w:hAnsi="仿宋_GB2312" w:cs="仿宋_GB2312"/>
                <w:color w:val="000000"/>
                <w:sz w:val="24"/>
                <w:szCs w:val="24"/>
              </w:rPr>
            </w:pPr>
            <w:r>
              <w:rPr>
                <w:rFonts w:ascii="仿宋_GB2312" w:eastAsia="仿宋_GB2312" w:hAnsi="仿宋_GB2312" w:cs="仿宋_GB2312"/>
                <w:color w:val="000000"/>
                <w:sz w:val="24"/>
                <w:szCs w:val="24"/>
              </w:rPr>
              <w:t>POP</w:t>
            </w:r>
          </w:p>
        </w:tc>
        <w:tc>
          <w:tcPr>
            <w:tcW w:w="4163" w:type="dxa"/>
            <w:tcBorders>
              <w:top w:val="single" w:sz="4" w:space="0" w:color="auto"/>
              <w:left w:val="single" w:sz="4" w:space="0" w:color="auto"/>
              <w:bottom w:val="single" w:sz="4" w:space="0" w:color="auto"/>
              <w:right w:val="single" w:sz="4" w:space="0" w:color="auto"/>
            </w:tcBorders>
            <w:vAlign w:val="center"/>
          </w:tcPr>
          <w:p w:rsidR="00DA02B9" w:rsidRDefault="003229D3">
            <w:pPr>
              <w:widowControl/>
              <w:jc w:val="left"/>
              <w:rPr>
                <w:rFonts w:ascii="仿宋_GB2312" w:eastAsia="仿宋_GB2312" w:hAnsi="仿宋_GB2312" w:cs="仿宋_GB2312"/>
                <w:color w:val="000000"/>
                <w:sz w:val="24"/>
                <w:szCs w:val="24"/>
              </w:rPr>
            </w:pPr>
            <w:r>
              <w:rPr>
                <w:rFonts w:ascii="仿宋_GB2312" w:eastAsia="仿宋_GB2312" w:hAnsi="仿宋_GB2312" w:cs="仿宋_GB2312"/>
                <w:color w:val="000000"/>
                <w:sz w:val="24"/>
                <w:szCs w:val="24"/>
              </w:rPr>
              <w:t>Point Of Presence</w:t>
            </w:r>
          </w:p>
        </w:tc>
        <w:tc>
          <w:tcPr>
            <w:tcW w:w="3637" w:type="dxa"/>
            <w:tcBorders>
              <w:top w:val="single" w:sz="4" w:space="0" w:color="auto"/>
              <w:left w:val="single" w:sz="4" w:space="0" w:color="auto"/>
              <w:bottom w:val="single" w:sz="4" w:space="0" w:color="auto"/>
              <w:right w:val="single" w:sz="4" w:space="0" w:color="auto"/>
            </w:tcBorders>
            <w:vAlign w:val="center"/>
          </w:tcPr>
          <w:p w:rsidR="00DA02B9" w:rsidRDefault="003229D3">
            <w:pPr>
              <w:widowControl/>
              <w:jc w:val="lef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网络服务提供点</w:t>
            </w:r>
          </w:p>
        </w:tc>
      </w:tr>
      <w:tr w:rsidR="00DA02B9">
        <w:trPr>
          <w:trHeight w:val="270"/>
        </w:trPr>
        <w:tc>
          <w:tcPr>
            <w:tcW w:w="1196" w:type="dxa"/>
            <w:tcBorders>
              <w:top w:val="single" w:sz="4" w:space="0" w:color="auto"/>
              <w:left w:val="single" w:sz="4" w:space="0" w:color="auto"/>
              <w:bottom w:val="single" w:sz="4" w:space="0" w:color="auto"/>
              <w:right w:val="single" w:sz="4" w:space="0" w:color="auto"/>
            </w:tcBorders>
            <w:vAlign w:val="center"/>
          </w:tcPr>
          <w:p w:rsidR="00DA02B9" w:rsidRDefault="003229D3">
            <w:pPr>
              <w:widowControl/>
              <w:jc w:val="left"/>
              <w:rPr>
                <w:rFonts w:ascii="仿宋_GB2312" w:eastAsia="仿宋_GB2312" w:hAnsi="仿宋_GB2312" w:cs="仿宋_GB2312"/>
                <w:color w:val="000000"/>
                <w:sz w:val="24"/>
                <w:szCs w:val="24"/>
              </w:rPr>
            </w:pPr>
            <w:r>
              <w:rPr>
                <w:rFonts w:ascii="仿宋_GB2312" w:eastAsia="仿宋_GB2312" w:hAnsi="仿宋_GB2312" w:cs="仿宋_GB2312"/>
                <w:color w:val="000000"/>
                <w:sz w:val="24"/>
                <w:szCs w:val="24"/>
              </w:rPr>
              <w:t>NB-</w:t>
            </w:r>
            <w:proofErr w:type="spellStart"/>
            <w:r>
              <w:rPr>
                <w:rFonts w:ascii="仿宋_GB2312" w:eastAsia="仿宋_GB2312" w:hAnsi="仿宋_GB2312" w:cs="仿宋_GB2312"/>
                <w:color w:val="000000"/>
                <w:sz w:val="24"/>
                <w:szCs w:val="24"/>
              </w:rPr>
              <w:t>IoT</w:t>
            </w:r>
            <w:proofErr w:type="spellEnd"/>
          </w:p>
        </w:tc>
        <w:tc>
          <w:tcPr>
            <w:tcW w:w="4163" w:type="dxa"/>
            <w:tcBorders>
              <w:top w:val="single" w:sz="4" w:space="0" w:color="auto"/>
              <w:left w:val="single" w:sz="4" w:space="0" w:color="auto"/>
              <w:bottom w:val="single" w:sz="4" w:space="0" w:color="auto"/>
              <w:right w:val="single" w:sz="4" w:space="0" w:color="auto"/>
            </w:tcBorders>
            <w:vAlign w:val="center"/>
          </w:tcPr>
          <w:p w:rsidR="00DA02B9" w:rsidRDefault="003229D3">
            <w:pPr>
              <w:widowControl/>
              <w:jc w:val="left"/>
              <w:rPr>
                <w:rFonts w:ascii="仿宋_GB2312" w:eastAsia="仿宋_GB2312" w:hAnsi="仿宋_GB2312" w:cs="仿宋_GB2312"/>
                <w:color w:val="000000"/>
                <w:sz w:val="24"/>
                <w:szCs w:val="24"/>
              </w:rPr>
            </w:pPr>
            <w:r>
              <w:rPr>
                <w:rFonts w:ascii="仿宋_GB2312" w:eastAsia="仿宋_GB2312" w:hAnsi="仿宋_GB2312" w:cs="仿宋_GB2312"/>
                <w:color w:val="000000"/>
                <w:sz w:val="24"/>
                <w:szCs w:val="24"/>
              </w:rPr>
              <w:t>Narrow Band Internet of Things</w:t>
            </w:r>
          </w:p>
        </w:tc>
        <w:tc>
          <w:tcPr>
            <w:tcW w:w="3637" w:type="dxa"/>
            <w:tcBorders>
              <w:top w:val="single" w:sz="4" w:space="0" w:color="auto"/>
              <w:left w:val="single" w:sz="4" w:space="0" w:color="auto"/>
              <w:bottom w:val="single" w:sz="4" w:space="0" w:color="auto"/>
              <w:right w:val="single" w:sz="4" w:space="0" w:color="auto"/>
            </w:tcBorders>
            <w:vAlign w:val="center"/>
          </w:tcPr>
          <w:p w:rsidR="00DA02B9" w:rsidRDefault="003229D3">
            <w:pPr>
              <w:widowControl/>
              <w:jc w:val="lef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窄带物联网技术</w:t>
            </w:r>
          </w:p>
        </w:tc>
      </w:tr>
      <w:tr w:rsidR="00DA02B9">
        <w:trPr>
          <w:trHeight w:val="270"/>
        </w:trPr>
        <w:tc>
          <w:tcPr>
            <w:tcW w:w="1196" w:type="dxa"/>
            <w:tcBorders>
              <w:top w:val="single" w:sz="4" w:space="0" w:color="auto"/>
              <w:left w:val="single" w:sz="4" w:space="0" w:color="auto"/>
              <w:bottom w:val="single" w:sz="4" w:space="0" w:color="auto"/>
              <w:right w:val="single" w:sz="4" w:space="0" w:color="auto"/>
            </w:tcBorders>
            <w:vAlign w:val="center"/>
          </w:tcPr>
          <w:p w:rsidR="00DA02B9" w:rsidRDefault="003229D3">
            <w:pPr>
              <w:widowControl/>
              <w:jc w:val="left"/>
              <w:rPr>
                <w:rFonts w:ascii="仿宋_GB2312" w:eastAsia="仿宋_GB2312" w:hAnsi="仿宋_GB2312" w:cs="仿宋_GB2312"/>
                <w:color w:val="000000"/>
                <w:sz w:val="24"/>
                <w:szCs w:val="24"/>
              </w:rPr>
            </w:pPr>
            <w:r>
              <w:rPr>
                <w:rFonts w:ascii="仿宋_GB2312" w:eastAsia="仿宋_GB2312" w:hAnsi="仿宋_GB2312" w:cs="仿宋_GB2312"/>
                <w:color w:val="000000"/>
                <w:sz w:val="24"/>
                <w:szCs w:val="24"/>
              </w:rPr>
              <w:t>APP</w:t>
            </w:r>
          </w:p>
        </w:tc>
        <w:tc>
          <w:tcPr>
            <w:tcW w:w="4163" w:type="dxa"/>
            <w:tcBorders>
              <w:top w:val="single" w:sz="4" w:space="0" w:color="auto"/>
              <w:left w:val="single" w:sz="4" w:space="0" w:color="auto"/>
              <w:bottom w:val="single" w:sz="4" w:space="0" w:color="auto"/>
              <w:right w:val="single" w:sz="4" w:space="0" w:color="auto"/>
            </w:tcBorders>
            <w:vAlign w:val="center"/>
          </w:tcPr>
          <w:p w:rsidR="00DA02B9" w:rsidRDefault="003229D3">
            <w:pPr>
              <w:widowControl/>
              <w:snapToGrid w:val="0"/>
              <w:jc w:val="left"/>
              <w:textAlignment w:val="baseline"/>
              <w:rPr>
                <w:rFonts w:ascii="仿宋_GB2312" w:eastAsia="仿宋_GB2312" w:hAnsi="仿宋_GB2312" w:cs="仿宋_GB2312"/>
                <w:color w:val="000000"/>
                <w:sz w:val="24"/>
                <w:szCs w:val="24"/>
              </w:rPr>
            </w:pPr>
            <w:r>
              <w:rPr>
                <w:rFonts w:ascii="仿宋_GB2312" w:eastAsia="仿宋_GB2312" w:hAnsi="仿宋_GB2312" w:cs="仿宋_GB2312"/>
                <w:color w:val="000000"/>
                <w:sz w:val="24"/>
                <w:szCs w:val="24"/>
              </w:rPr>
              <w:t>Application</w:t>
            </w:r>
          </w:p>
        </w:tc>
        <w:tc>
          <w:tcPr>
            <w:tcW w:w="3637" w:type="dxa"/>
            <w:tcBorders>
              <w:top w:val="single" w:sz="4" w:space="0" w:color="auto"/>
              <w:left w:val="single" w:sz="4" w:space="0" w:color="auto"/>
              <w:bottom w:val="single" w:sz="4" w:space="0" w:color="auto"/>
              <w:right w:val="single" w:sz="4" w:space="0" w:color="auto"/>
            </w:tcBorders>
            <w:vAlign w:val="center"/>
          </w:tcPr>
          <w:p w:rsidR="00DA02B9" w:rsidRDefault="003229D3">
            <w:pPr>
              <w:widowControl/>
              <w:jc w:val="lef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手机应用程序</w:t>
            </w:r>
          </w:p>
        </w:tc>
      </w:tr>
      <w:tr w:rsidR="00DA02B9">
        <w:trPr>
          <w:trHeight w:val="270"/>
        </w:trPr>
        <w:tc>
          <w:tcPr>
            <w:tcW w:w="1196" w:type="dxa"/>
            <w:tcBorders>
              <w:top w:val="single" w:sz="4" w:space="0" w:color="auto"/>
              <w:left w:val="single" w:sz="4" w:space="0" w:color="auto"/>
              <w:bottom w:val="single" w:sz="4" w:space="0" w:color="auto"/>
              <w:right w:val="single" w:sz="4" w:space="0" w:color="auto"/>
            </w:tcBorders>
            <w:vAlign w:val="center"/>
          </w:tcPr>
          <w:p w:rsidR="00DA02B9" w:rsidRDefault="003229D3">
            <w:pPr>
              <w:widowControl/>
              <w:jc w:val="left"/>
              <w:rPr>
                <w:rFonts w:ascii="仿宋_GB2312" w:eastAsia="仿宋_GB2312" w:hAnsi="仿宋_GB2312" w:cs="仿宋_GB2312"/>
                <w:color w:val="000000"/>
                <w:sz w:val="24"/>
                <w:szCs w:val="24"/>
              </w:rPr>
            </w:pPr>
            <w:r>
              <w:rPr>
                <w:rFonts w:ascii="仿宋_GB2312" w:eastAsia="仿宋_GB2312" w:hAnsi="仿宋_GB2312" w:cs="仿宋_GB2312"/>
                <w:color w:val="000000"/>
                <w:sz w:val="24"/>
                <w:szCs w:val="24"/>
              </w:rPr>
              <w:t>IP</w:t>
            </w:r>
          </w:p>
        </w:tc>
        <w:tc>
          <w:tcPr>
            <w:tcW w:w="4163" w:type="dxa"/>
            <w:tcBorders>
              <w:top w:val="single" w:sz="4" w:space="0" w:color="auto"/>
              <w:left w:val="single" w:sz="4" w:space="0" w:color="auto"/>
              <w:bottom w:val="single" w:sz="4" w:space="0" w:color="auto"/>
              <w:right w:val="single" w:sz="4" w:space="0" w:color="auto"/>
            </w:tcBorders>
            <w:vAlign w:val="center"/>
          </w:tcPr>
          <w:p w:rsidR="00DA02B9" w:rsidRDefault="003229D3">
            <w:pPr>
              <w:widowControl/>
              <w:jc w:val="left"/>
              <w:rPr>
                <w:rFonts w:ascii="仿宋_GB2312" w:eastAsia="仿宋_GB2312" w:hAnsi="仿宋_GB2312" w:cs="仿宋_GB2312"/>
                <w:color w:val="000000"/>
                <w:sz w:val="24"/>
                <w:szCs w:val="24"/>
              </w:rPr>
            </w:pPr>
            <w:r>
              <w:rPr>
                <w:rFonts w:ascii="仿宋_GB2312" w:eastAsia="仿宋_GB2312" w:hAnsi="仿宋_GB2312" w:cs="仿宋_GB2312"/>
                <w:color w:val="000000"/>
                <w:sz w:val="24"/>
                <w:szCs w:val="24"/>
              </w:rPr>
              <w:t>Internet Protocol</w:t>
            </w:r>
          </w:p>
        </w:tc>
        <w:tc>
          <w:tcPr>
            <w:tcW w:w="3637" w:type="dxa"/>
            <w:tcBorders>
              <w:top w:val="single" w:sz="4" w:space="0" w:color="auto"/>
              <w:left w:val="single" w:sz="4" w:space="0" w:color="auto"/>
              <w:bottom w:val="single" w:sz="4" w:space="0" w:color="auto"/>
              <w:right w:val="single" w:sz="4" w:space="0" w:color="auto"/>
            </w:tcBorders>
            <w:vAlign w:val="center"/>
          </w:tcPr>
          <w:p w:rsidR="00DA02B9" w:rsidRDefault="003229D3">
            <w:pPr>
              <w:widowControl/>
              <w:jc w:val="lef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互联网协议</w:t>
            </w:r>
          </w:p>
        </w:tc>
      </w:tr>
      <w:tr w:rsidR="00DA02B9">
        <w:trPr>
          <w:trHeight w:val="270"/>
        </w:trPr>
        <w:tc>
          <w:tcPr>
            <w:tcW w:w="1196" w:type="dxa"/>
            <w:tcBorders>
              <w:top w:val="single" w:sz="4" w:space="0" w:color="auto"/>
              <w:left w:val="single" w:sz="4" w:space="0" w:color="auto"/>
              <w:bottom w:val="single" w:sz="4" w:space="0" w:color="auto"/>
              <w:right w:val="single" w:sz="4" w:space="0" w:color="auto"/>
            </w:tcBorders>
            <w:vAlign w:val="center"/>
          </w:tcPr>
          <w:p w:rsidR="00DA02B9" w:rsidRDefault="003229D3">
            <w:pPr>
              <w:widowControl/>
              <w:jc w:val="left"/>
              <w:rPr>
                <w:rFonts w:ascii="仿宋_GB2312" w:eastAsia="仿宋_GB2312" w:hAnsi="仿宋_GB2312" w:cs="仿宋_GB2312"/>
                <w:color w:val="000000"/>
                <w:sz w:val="24"/>
                <w:szCs w:val="24"/>
              </w:rPr>
            </w:pPr>
            <w:r>
              <w:rPr>
                <w:rFonts w:ascii="仿宋_GB2312" w:eastAsia="仿宋_GB2312" w:hAnsi="仿宋_GB2312" w:cs="仿宋_GB2312"/>
                <w:color w:val="000000"/>
                <w:sz w:val="24"/>
                <w:szCs w:val="24"/>
              </w:rPr>
              <w:t>.CN</w:t>
            </w:r>
          </w:p>
        </w:tc>
        <w:tc>
          <w:tcPr>
            <w:tcW w:w="4163" w:type="dxa"/>
            <w:tcBorders>
              <w:top w:val="single" w:sz="4" w:space="0" w:color="auto"/>
              <w:left w:val="single" w:sz="4" w:space="0" w:color="auto"/>
              <w:bottom w:val="single" w:sz="4" w:space="0" w:color="auto"/>
              <w:right w:val="single" w:sz="4" w:space="0" w:color="auto"/>
            </w:tcBorders>
            <w:vAlign w:val="center"/>
          </w:tcPr>
          <w:p w:rsidR="00DA02B9" w:rsidRDefault="003229D3">
            <w:pPr>
              <w:widowControl/>
              <w:jc w:val="lef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w:t>
            </w:r>
          </w:p>
        </w:tc>
        <w:tc>
          <w:tcPr>
            <w:tcW w:w="3637" w:type="dxa"/>
            <w:tcBorders>
              <w:top w:val="single" w:sz="4" w:space="0" w:color="auto"/>
              <w:left w:val="single" w:sz="4" w:space="0" w:color="auto"/>
              <w:bottom w:val="single" w:sz="4" w:space="0" w:color="auto"/>
              <w:right w:val="single" w:sz="4" w:space="0" w:color="auto"/>
            </w:tcBorders>
            <w:vAlign w:val="center"/>
          </w:tcPr>
          <w:p w:rsidR="00DA02B9" w:rsidRDefault="003229D3">
            <w:pPr>
              <w:widowControl/>
              <w:jc w:val="lef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中国互联网英文国际顶级域名</w:t>
            </w:r>
          </w:p>
        </w:tc>
      </w:tr>
    </w:tbl>
    <w:p w:rsidR="00DA02B9" w:rsidRDefault="00DA02B9">
      <w:pPr>
        <w:ind w:firstLineChars="181" w:firstLine="579"/>
        <w:rPr>
          <w:rFonts w:ascii="仿宋_GB2312" w:eastAsia="仿宋_GB2312" w:hAnsi="仿宋_GB2312" w:cs="仿宋_GB2312"/>
          <w:color w:val="000000"/>
          <w:sz w:val="32"/>
          <w:szCs w:val="32"/>
        </w:rPr>
      </w:pPr>
    </w:p>
    <w:p w:rsidR="00DA02B9" w:rsidRDefault="00DA02B9">
      <w:pPr>
        <w:ind w:firstLineChars="181" w:firstLine="579"/>
        <w:rPr>
          <w:rFonts w:ascii="仿宋_GB2312" w:eastAsia="仿宋_GB2312" w:hAnsi="仿宋_GB2312" w:cs="仿宋_GB2312"/>
          <w:color w:val="000000"/>
          <w:sz w:val="32"/>
          <w:szCs w:val="32"/>
        </w:rPr>
      </w:pPr>
    </w:p>
    <w:p w:rsidR="00DA02B9" w:rsidRDefault="00DA02B9">
      <w:pPr>
        <w:ind w:firstLineChars="181" w:firstLine="579"/>
        <w:rPr>
          <w:rFonts w:ascii="仿宋_GB2312" w:eastAsia="仿宋_GB2312" w:hAnsi="仿宋_GB2312" w:cs="仿宋_GB2312"/>
          <w:color w:val="000000"/>
          <w:sz w:val="32"/>
          <w:szCs w:val="32"/>
        </w:rPr>
      </w:pPr>
    </w:p>
    <w:p w:rsidR="00DA02B9" w:rsidRDefault="00DA02B9">
      <w:pPr>
        <w:ind w:firstLineChars="181" w:firstLine="579"/>
        <w:rPr>
          <w:rFonts w:ascii="仿宋_GB2312" w:eastAsia="仿宋_GB2312" w:hAnsi="仿宋_GB2312" w:cs="仿宋_GB2312"/>
          <w:color w:val="000000"/>
          <w:sz w:val="32"/>
          <w:szCs w:val="32"/>
        </w:rPr>
      </w:pPr>
    </w:p>
    <w:p w:rsidR="00DA02B9" w:rsidRDefault="00DA02B9">
      <w:pPr>
        <w:ind w:firstLineChars="181" w:firstLine="579"/>
        <w:rPr>
          <w:rFonts w:ascii="仿宋_GB2312" w:eastAsia="仿宋_GB2312" w:hAnsi="仿宋_GB2312" w:cs="仿宋_GB2312"/>
          <w:color w:val="000000"/>
          <w:sz w:val="32"/>
          <w:szCs w:val="32"/>
        </w:rPr>
      </w:pPr>
    </w:p>
    <w:p w:rsidR="00DA02B9" w:rsidRDefault="00DA02B9">
      <w:pPr>
        <w:rPr>
          <w:rFonts w:ascii="仿宋_GB2312" w:eastAsia="仿宋_GB2312" w:hAnsi="仿宋_GB2312" w:cs="仿宋_GB2312"/>
          <w:color w:val="000000"/>
          <w:sz w:val="32"/>
          <w:szCs w:val="32"/>
        </w:rPr>
      </w:pPr>
    </w:p>
    <w:sectPr w:rsidR="00DA02B9" w:rsidSect="00DA02B9">
      <w:headerReference w:type="default" r:id="rId9"/>
      <w:footerReference w:type="default" r:id="rId10"/>
      <w:footerReference w:type="first" r:id="rId11"/>
      <w:pgSz w:w="11906" w:h="16838"/>
      <w:pgMar w:top="1440" w:right="1800" w:bottom="1440" w:left="1800" w:header="851" w:footer="992" w:gutter="0"/>
      <w:pgNumType w:start="1"/>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29D3" w:rsidRDefault="003229D3" w:rsidP="00DA02B9">
      <w:r>
        <w:separator/>
      </w:r>
    </w:p>
  </w:endnote>
  <w:endnote w:type="continuationSeparator" w:id="0">
    <w:p w:rsidR="003229D3" w:rsidRDefault="003229D3" w:rsidP="00DA02B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1" w:usb1="080E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02B9" w:rsidRDefault="00DA02B9">
    <w:pPr>
      <w:pStyle w:val="a6"/>
    </w:pPr>
    <w:r>
      <w:pict>
        <v:rect id="文本框 4" o:spid="_x0000_s2049" style="position:absolute;margin-left:0;margin-top:0;width:2in;height:2in;z-index:251658240;mso-wrap-style:none;mso-position-horizontal:center;mso-position-horizontal-relative:margin" o:preferrelative="t" filled="f" stroked="f">
          <v:textbox style="mso-fit-shape-to-text:t" inset="0,0,0,0">
            <w:txbxContent>
              <w:p w:rsidR="00DA02B9" w:rsidRDefault="00DA02B9">
                <w:pPr>
                  <w:snapToGrid w:val="0"/>
                  <w:rPr>
                    <w:sz w:val="18"/>
                  </w:rPr>
                </w:pPr>
                <w:r>
                  <w:rPr>
                    <w:rFonts w:hint="eastAsia"/>
                    <w:sz w:val="18"/>
                  </w:rPr>
                  <w:fldChar w:fldCharType="begin"/>
                </w:r>
                <w:r w:rsidR="003229D3">
                  <w:rPr>
                    <w:rFonts w:hint="eastAsia"/>
                    <w:sz w:val="18"/>
                  </w:rPr>
                  <w:instrText xml:space="preserve"> PAGE  \* MERGEFORMAT </w:instrText>
                </w:r>
                <w:r>
                  <w:rPr>
                    <w:rFonts w:hint="eastAsia"/>
                    <w:sz w:val="18"/>
                  </w:rPr>
                  <w:fldChar w:fldCharType="separate"/>
                </w:r>
                <w:r w:rsidR="00881FE9" w:rsidRPr="00881FE9">
                  <w:rPr>
                    <w:noProof/>
                  </w:rPr>
                  <w:t>2</w:t>
                </w:r>
                <w:r>
                  <w:rPr>
                    <w:rFonts w:hint="eastAsia"/>
                    <w:sz w:val="18"/>
                  </w:rPr>
                  <w:fldChar w:fldCharType="end"/>
                </w:r>
              </w:p>
            </w:txbxContent>
          </v:textbox>
          <w10:wrap anchorx="margin"/>
        </v:rect>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02B9" w:rsidRDefault="00DA02B9">
    <w:pPr>
      <w:pStyle w:val="a6"/>
      <w:jc w:val="center"/>
      <w:rPr>
        <w:lang w:val="zh-CN"/>
      </w:rPr>
    </w:pPr>
    <w:r>
      <w:pict>
        <v:rect id="文本框 3" o:spid="_x0000_s2050" style="position:absolute;left:0;text-align:left;margin-left:0;margin-top:0;width:2in;height:2in;z-index:251659264;mso-wrap-style:none;mso-position-horizontal:center;mso-position-horizontal-relative:margin" o:preferrelative="t" filled="f" stroked="f">
          <v:textbox style="mso-fit-shape-to-text:t" inset="0,0,0,0">
            <w:txbxContent>
              <w:p w:rsidR="00DA02B9" w:rsidRDefault="00DA02B9">
                <w:pPr>
                  <w:pStyle w:val="a6"/>
                  <w:jc w:val="center"/>
                </w:pPr>
                <w:r w:rsidRPr="00DA02B9">
                  <w:fldChar w:fldCharType="begin"/>
                </w:r>
                <w:r w:rsidR="003229D3">
                  <w:instrText>PAGE   \* MERGEFORMAT</w:instrText>
                </w:r>
                <w:r w:rsidRPr="00DA02B9">
                  <w:fldChar w:fldCharType="separate"/>
                </w:r>
                <w:r w:rsidR="00881FE9">
                  <w:rPr>
                    <w:noProof/>
                  </w:rPr>
                  <w:t>1</w:t>
                </w:r>
                <w:r>
                  <w:rPr>
                    <w:lang w:val="zh-CN"/>
                  </w:rPr>
                  <w:fldChar w:fldCharType="end"/>
                </w:r>
              </w:p>
            </w:txbxContent>
          </v:textbox>
          <w10:wrap anchorx="margin"/>
        </v:rect>
      </w:pict>
    </w:r>
  </w:p>
  <w:p w:rsidR="00DA02B9" w:rsidRDefault="00DA02B9">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29D3" w:rsidRDefault="003229D3" w:rsidP="00DA02B9">
      <w:r>
        <w:separator/>
      </w:r>
    </w:p>
  </w:footnote>
  <w:footnote w:type="continuationSeparator" w:id="0">
    <w:p w:rsidR="003229D3" w:rsidRDefault="003229D3" w:rsidP="00DA02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02B9" w:rsidRDefault="00DA02B9">
    <w:pPr>
      <w:pStyle w:val="a7"/>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2B261F"/>
    <w:multiLevelType w:val="multilevel"/>
    <w:tmpl w:val="722B261F"/>
    <w:lvl w:ilvl="0">
      <w:start w:val="1"/>
      <w:numFmt w:val="bullet"/>
      <w:lvlText w:val=""/>
      <w:lvlJc w:val="left"/>
      <w:pPr>
        <w:ind w:left="420" w:hanging="42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trackRevisions/>
  <w:defaultTabStop w:val="420"/>
  <w:drawingGridHorizontalSpacing w:val="105"/>
  <w:drawingGridVerticalSpacing w:val="156"/>
  <w:displayHorizontalDrawingGridEvery w:val="0"/>
  <w:displayVerticalDrawingGridEvery w:val="2"/>
  <w:doNotShadeFormData/>
  <w:characterSpacingControl w:val="compressPunctuation"/>
  <w:hdrShapeDefaults>
    <o:shapedefaults v:ext="edit" spidmax="3074"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2709"/>
    <w:rsid w:val="00002B05"/>
    <w:rsid w:val="00003477"/>
    <w:rsid w:val="0000660F"/>
    <w:rsid w:val="00006E79"/>
    <w:rsid w:val="000071FC"/>
    <w:rsid w:val="000127D9"/>
    <w:rsid w:val="00013ABF"/>
    <w:rsid w:val="000140E5"/>
    <w:rsid w:val="00016834"/>
    <w:rsid w:val="00020AD5"/>
    <w:rsid w:val="00026394"/>
    <w:rsid w:val="00030B82"/>
    <w:rsid w:val="00032EC0"/>
    <w:rsid w:val="00033763"/>
    <w:rsid w:val="000339EB"/>
    <w:rsid w:val="00033B47"/>
    <w:rsid w:val="00034CA4"/>
    <w:rsid w:val="00035151"/>
    <w:rsid w:val="000356BD"/>
    <w:rsid w:val="00040372"/>
    <w:rsid w:val="00040AEF"/>
    <w:rsid w:val="00040CBE"/>
    <w:rsid w:val="0004216E"/>
    <w:rsid w:val="00042FEE"/>
    <w:rsid w:val="00045857"/>
    <w:rsid w:val="00047C18"/>
    <w:rsid w:val="000501B8"/>
    <w:rsid w:val="00050704"/>
    <w:rsid w:val="0005154B"/>
    <w:rsid w:val="0005196F"/>
    <w:rsid w:val="00054070"/>
    <w:rsid w:val="000567D3"/>
    <w:rsid w:val="00056831"/>
    <w:rsid w:val="00057193"/>
    <w:rsid w:val="000577E0"/>
    <w:rsid w:val="00057CB6"/>
    <w:rsid w:val="00061A02"/>
    <w:rsid w:val="00061AE0"/>
    <w:rsid w:val="00061C50"/>
    <w:rsid w:val="00063358"/>
    <w:rsid w:val="00065F75"/>
    <w:rsid w:val="00076027"/>
    <w:rsid w:val="00077B43"/>
    <w:rsid w:val="00077E02"/>
    <w:rsid w:val="0008006C"/>
    <w:rsid w:val="000830A8"/>
    <w:rsid w:val="00084A2C"/>
    <w:rsid w:val="00084BFC"/>
    <w:rsid w:val="00090485"/>
    <w:rsid w:val="00091579"/>
    <w:rsid w:val="00092129"/>
    <w:rsid w:val="000936F8"/>
    <w:rsid w:val="00093724"/>
    <w:rsid w:val="0009427E"/>
    <w:rsid w:val="000945C3"/>
    <w:rsid w:val="00094B79"/>
    <w:rsid w:val="00094E6A"/>
    <w:rsid w:val="000963DB"/>
    <w:rsid w:val="000965E9"/>
    <w:rsid w:val="00096E3F"/>
    <w:rsid w:val="000A2EDA"/>
    <w:rsid w:val="000A45C4"/>
    <w:rsid w:val="000A7C4E"/>
    <w:rsid w:val="000B0912"/>
    <w:rsid w:val="000B13E6"/>
    <w:rsid w:val="000B5034"/>
    <w:rsid w:val="000B5968"/>
    <w:rsid w:val="000B6616"/>
    <w:rsid w:val="000B6938"/>
    <w:rsid w:val="000B7140"/>
    <w:rsid w:val="000B7B39"/>
    <w:rsid w:val="000B7F47"/>
    <w:rsid w:val="000C1EC6"/>
    <w:rsid w:val="000C559D"/>
    <w:rsid w:val="000C5E98"/>
    <w:rsid w:val="000C6727"/>
    <w:rsid w:val="000C69CE"/>
    <w:rsid w:val="000C6F90"/>
    <w:rsid w:val="000C7F34"/>
    <w:rsid w:val="000D0725"/>
    <w:rsid w:val="000D0B0D"/>
    <w:rsid w:val="000D1B73"/>
    <w:rsid w:val="000D1C36"/>
    <w:rsid w:val="000D21F9"/>
    <w:rsid w:val="000D501A"/>
    <w:rsid w:val="000D587C"/>
    <w:rsid w:val="000D699C"/>
    <w:rsid w:val="000D7AFD"/>
    <w:rsid w:val="000D7DC9"/>
    <w:rsid w:val="000D7FCA"/>
    <w:rsid w:val="000D7FCC"/>
    <w:rsid w:val="000E1689"/>
    <w:rsid w:val="000E35F5"/>
    <w:rsid w:val="000E52E1"/>
    <w:rsid w:val="000E57AB"/>
    <w:rsid w:val="000E67B8"/>
    <w:rsid w:val="000F01AA"/>
    <w:rsid w:val="000F373C"/>
    <w:rsid w:val="000F43BE"/>
    <w:rsid w:val="000F4C74"/>
    <w:rsid w:val="000F50A1"/>
    <w:rsid w:val="000F6CDB"/>
    <w:rsid w:val="000F7FE6"/>
    <w:rsid w:val="001004E0"/>
    <w:rsid w:val="001013B8"/>
    <w:rsid w:val="00101581"/>
    <w:rsid w:val="00101A84"/>
    <w:rsid w:val="001020A1"/>
    <w:rsid w:val="00104FB7"/>
    <w:rsid w:val="00105E2F"/>
    <w:rsid w:val="001063BD"/>
    <w:rsid w:val="001065F2"/>
    <w:rsid w:val="00106FEA"/>
    <w:rsid w:val="00107345"/>
    <w:rsid w:val="00107ED4"/>
    <w:rsid w:val="001139CB"/>
    <w:rsid w:val="001139EF"/>
    <w:rsid w:val="00114ACE"/>
    <w:rsid w:val="0011690F"/>
    <w:rsid w:val="00116C84"/>
    <w:rsid w:val="00117B2F"/>
    <w:rsid w:val="00121600"/>
    <w:rsid w:val="00122812"/>
    <w:rsid w:val="00124B1A"/>
    <w:rsid w:val="001277CE"/>
    <w:rsid w:val="0013156A"/>
    <w:rsid w:val="00131BF4"/>
    <w:rsid w:val="001325D5"/>
    <w:rsid w:val="00132FFA"/>
    <w:rsid w:val="00135DAD"/>
    <w:rsid w:val="00136C70"/>
    <w:rsid w:val="00137CFA"/>
    <w:rsid w:val="001404A3"/>
    <w:rsid w:val="00140CCD"/>
    <w:rsid w:val="00141950"/>
    <w:rsid w:val="001432A8"/>
    <w:rsid w:val="00145457"/>
    <w:rsid w:val="0015034E"/>
    <w:rsid w:val="0015070A"/>
    <w:rsid w:val="00151180"/>
    <w:rsid w:val="00151806"/>
    <w:rsid w:val="0015322B"/>
    <w:rsid w:val="00153543"/>
    <w:rsid w:val="0015430D"/>
    <w:rsid w:val="00154F8A"/>
    <w:rsid w:val="0015652C"/>
    <w:rsid w:val="001603FD"/>
    <w:rsid w:val="00160782"/>
    <w:rsid w:val="0016254D"/>
    <w:rsid w:val="00162D3F"/>
    <w:rsid w:val="00165244"/>
    <w:rsid w:val="00166068"/>
    <w:rsid w:val="00167340"/>
    <w:rsid w:val="00167AAD"/>
    <w:rsid w:val="00170751"/>
    <w:rsid w:val="00171E08"/>
    <w:rsid w:val="00172583"/>
    <w:rsid w:val="00172841"/>
    <w:rsid w:val="00172A27"/>
    <w:rsid w:val="00174AC3"/>
    <w:rsid w:val="00175664"/>
    <w:rsid w:val="001770AA"/>
    <w:rsid w:val="00177D36"/>
    <w:rsid w:val="00180F71"/>
    <w:rsid w:val="00181772"/>
    <w:rsid w:val="00181F27"/>
    <w:rsid w:val="00181FF4"/>
    <w:rsid w:val="00182158"/>
    <w:rsid w:val="0018298B"/>
    <w:rsid w:val="00182DB4"/>
    <w:rsid w:val="00184A82"/>
    <w:rsid w:val="001858AF"/>
    <w:rsid w:val="00190429"/>
    <w:rsid w:val="00190862"/>
    <w:rsid w:val="00190E1A"/>
    <w:rsid w:val="00191368"/>
    <w:rsid w:val="00191D9C"/>
    <w:rsid w:val="00193811"/>
    <w:rsid w:val="00193949"/>
    <w:rsid w:val="0019439A"/>
    <w:rsid w:val="00194E62"/>
    <w:rsid w:val="001966AE"/>
    <w:rsid w:val="00197E64"/>
    <w:rsid w:val="001A1A9C"/>
    <w:rsid w:val="001A1F8E"/>
    <w:rsid w:val="001A3818"/>
    <w:rsid w:val="001A5AE9"/>
    <w:rsid w:val="001A70D3"/>
    <w:rsid w:val="001A7A4A"/>
    <w:rsid w:val="001B0485"/>
    <w:rsid w:val="001B0FEE"/>
    <w:rsid w:val="001B5F2F"/>
    <w:rsid w:val="001B6393"/>
    <w:rsid w:val="001C28A9"/>
    <w:rsid w:val="001C3949"/>
    <w:rsid w:val="001C6FB8"/>
    <w:rsid w:val="001D098A"/>
    <w:rsid w:val="001D26BC"/>
    <w:rsid w:val="001D6798"/>
    <w:rsid w:val="001E04F3"/>
    <w:rsid w:val="001E083E"/>
    <w:rsid w:val="001E1E8E"/>
    <w:rsid w:val="001E384A"/>
    <w:rsid w:val="001E5197"/>
    <w:rsid w:val="001F0653"/>
    <w:rsid w:val="001F1852"/>
    <w:rsid w:val="001F1BEC"/>
    <w:rsid w:val="001F3E7D"/>
    <w:rsid w:val="001F40A3"/>
    <w:rsid w:val="001F48EA"/>
    <w:rsid w:val="001F5C0B"/>
    <w:rsid w:val="001F6EC8"/>
    <w:rsid w:val="001F74F3"/>
    <w:rsid w:val="001F771A"/>
    <w:rsid w:val="00200867"/>
    <w:rsid w:val="00201D47"/>
    <w:rsid w:val="00201E94"/>
    <w:rsid w:val="0020270D"/>
    <w:rsid w:val="00202902"/>
    <w:rsid w:val="0020382D"/>
    <w:rsid w:val="002047C4"/>
    <w:rsid w:val="002054B4"/>
    <w:rsid w:val="002076CF"/>
    <w:rsid w:val="002100CB"/>
    <w:rsid w:val="0021226B"/>
    <w:rsid w:val="00213187"/>
    <w:rsid w:val="00213A3E"/>
    <w:rsid w:val="00214413"/>
    <w:rsid w:val="002144A6"/>
    <w:rsid w:val="00215CA8"/>
    <w:rsid w:val="00217224"/>
    <w:rsid w:val="00217729"/>
    <w:rsid w:val="00222004"/>
    <w:rsid w:val="002229BC"/>
    <w:rsid w:val="00226611"/>
    <w:rsid w:val="0022725B"/>
    <w:rsid w:val="0022740B"/>
    <w:rsid w:val="00231457"/>
    <w:rsid w:val="002322CC"/>
    <w:rsid w:val="00232309"/>
    <w:rsid w:val="00232631"/>
    <w:rsid w:val="00234636"/>
    <w:rsid w:val="00234AEB"/>
    <w:rsid w:val="00234E1C"/>
    <w:rsid w:val="00235BDC"/>
    <w:rsid w:val="002362E7"/>
    <w:rsid w:val="00237280"/>
    <w:rsid w:val="002426AA"/>
    <w:rsid w:val="0024427A"/>
    <w:rsid w:val="00244BCB"/>
    <w:rsid w:val="002468A5"/>
    <w:rsid w:val="0024700C"/>
    <w:rsid w:val="00247896"/>
    <w:rsid w:val="00247DDA"/>
    <w:rsid w:val="00250947"/>
    <w:rsid w:val="002509D6"/>
    <w:rsid w:val="00250D9B"/>
    <w:rsid w:val="00251D70"/>
    <w:rsid w:val="00252902"/>
    <w:rsid w:val="002556AC"/>
    <w:rsid w:val="00257040"/>
    <w:rsid w:val="00257F39"/>
    <w:rsid w:val="00260322"/>
    <w:rsid w:val="00260FB3"/>
    <w:rsid w:val="00261457"/>
    <w:rsid w:val="00261703"/>
    <w:rsid w:val="00262C3C"/>
    <w:rsid w:val="00263BF6"/>
    <w:rsid w:val="00264362"/>
    <w:rsid w:val="0026603E"/>
    <w:rsid w:val="00266224"/>
    <w:rsid w:val="00272DBC"/>
    <w:rsid w:val="00276DEF"/>
    <w:rsid w:val="00276FFC"/>
    <w:rsid w:val="002821D4"/>
    <w:rsid w:val="002844B4"/>
    <w:rsid w:val="00290165"/>
    <w:rsid w:val="0029021E"/>
    <w:rsid w:val="0029196C"/>
    <w:rsid w:val="00292B58"/>
    <w:rsid w:val="002946A6"/>
    <w:rsid w:val="00294F12"/>
    <w:rsid w:val="00295361"/>
    <w:rsid w:val="002960F4"/>
    <w:rsid w:val="00296BA1"/>
    <w:rsid w:val="00296C7C"/>
    <w:rsid w:val="002A3028"/>
    <w:rsid w:val="002A309E"/>
    <w:rsid w:val="002A3C97"/>
    <w:rsid w:val="002A5A8C"/>
    <w:rsid w:val="002A7265"/>
    <w:rsid w:val="002A7535"/>
    <w:rsid w:val="002A75F5"/>
    <w:rsid w:val="002A7CBD"/>
    <w:rsid w:val="002B0CFC"/>
    <w:rsid w:val="002B10A4"/>
    <w:rsid w:val="002B12B6"/>
    <w:rsid w:val="002B3EA5"/>
    <w:rsid w:val="002B5C75"/>
    <w:rsid w:val="002B767A"/>
    <w:rsid w:val="002C0885"/>
    <w:rsid w:val="002C1BDB"/>
    <w:rsid w:val="002C242A"/>
    <w:rsid w:val="002C4040"/>
    <w:rsid w:val="002C54BF"/>
    <w:rsid w:val="002C756F"/>
    <w:rsid w:val="002C7ECF"/>
    <w:rsid w:val="002D16E4"/>
    <w:rsid w:val="002D25A7"/>
    <w:rsid w:val="002D40AD"/>
    <w:rsid w:val="002D4F8A"/>
    <w:rsid w:val="002D7469"/>
    <w:rsid w:val="002D75C5"/>
    <w:rsid w:val="002D7F47"/>
    <w:rsid w:val="002E2803"/>
    <w:rsid w:val="002E390D"/>
    <w:rsid w:val="002E452E"/>
    <w:rsid w:val="002E5E54"/>
    <w:rsid w:val="002E5F93"/>
    <w:rsid w:val="002E6373"/>
    <w:rsid w:val="002F006D"/>
    <w:rsid w:val="002F0C1A"/>
    <w:rsid w:val="002F2C88"/>
    <w:rsid w:val="002F32A9"/>
    <w:rsid w:val="002F4D42"/>
    <w:rsid w:val="002F52EE"/>
    <w:rsid w:val="002F5F48"/>
    <w:rsid w:val="002F60B8"/>
    <w:rsid w:val="002F772F"/>
    <w:rsid w:val="002F7DE6"/>
    <w:rsid w:val="00300C3A"/>
    <w:rsid w:val="00302C32"/>
    <w:rsid w:val="003077F8"/>
    <w:rsid w:val="00310F09"/>
    <w:rsid w:val="00313F49"/>
    <w:rsid w:val="00315381"/>
    <w:rsid w:val="00315660"/>
    <w:rsid w:val="00317E0C"/>
    <w:rsid w:val="00320916"/>
    <w:rsid w:val="00321C01"/>
    <w:rsid w:val="00321F21"/>
    <w:rsid w:val="00322118"/>
    <w:rsid w:val="003229D3"/>
    <w:rsid w:val="00324B09"/>
    <w:rsid w:val="00325F10"/>
    <w:rsid w:val="00326824"/>
    <w:rsid w:val="0032721D"/>
    <w:rsid w:val="00331D23"/>
    <w:rsid w:val="0033353C"/>
    <w:rsid w:val="00335A11"/>
    <w:rsid w:val="0033629C"/>
    <w:rsid w:val="003362ED"/>
    <w:rsid w:val="0033645E"/>
    <w:rsid w:val="003402A5"/>
    <w:rsid w:val="003402DE"/>
    <w:rsid w:val="00340D67"/>
    <w:rsid w:val="00341A91"/>
    <w:rsid w:val="003422AA"/>
    <w:rsid w:val="00342A42"/>
    <w:rsid w:val="00343C49"/>
    <w:rsid w:val="00343DFF"/>
    <w:rsid w:val="00344894"/>
    <w:rsid w:val="00344E33"/>
    <w:rsid w:val="0034708E"/>
    <w:rsid w:val="00351515"/>
    <w:rsid w:val="003522D0"/>
    <w:rsid w:val="003530C8"/>
    <w:rsid w:val="003532D6"/>
    <w:rsid w:val="0035476A"/>
    <w:rsid w:val="00355C92"/>
    <w:rsid w:val="00356D94"/>
    <w:rsid w:val="00357064"/>
    <w:rsid w:val="0036227D"/>
    <w:rsid w:val="00362BC7"/>
    <w:rsid w:val="00362E7A"/>
    <w:rsid w:val="00364243"/>
    <w:rsid w:val="00364D02"/>
    <w:rsid w:val="003652A5"/>
    <w:rsid w:val="0036571E"/>
    <w:rsid w:val="003669DF"/>
    <w:rsid w:val="003669F9"/>
    <w:rsid w:val="00366B4C"/>
    <w:rsid w:val="0037180F"/>
    <w:rsid w:val="00372C75"/>
    <w:rsid w:val="00374F5C"/>
    <w:rsid w:val="0037515F"/>
    <w:rsid w:val="00377E1E"/>
    <w:rsid w:val="0038076B"/>
    <w:rsid w:val="00380C5A"/>
    <w:rsid w:val="00383637"/>
    <w:rsid w:val="00384024"/>
    <w:rsid w:val="003841A4"/>
    <w:rsid w:val="00387821"/>
    <w:rsid w:val="00392426"/>
    <w:rsid w:val="00393B3B"/>
    <w:rsid w:val="003A03CB"/>
    <w:rsid w:val="003A116B"/>
    <w:rsid w:val="003A2899"/>
    <w:rsid w:val="003A3696"/>
    <w:rsid w:val="003A553D"/>
    <w:rsid w:val="003A6197"/>
    <w:rsid w:val="003A77CE"/>
    <w:rsid w:val="003B039C"/>
    <w:rsid w:val="003B2A03"/>
    <w:rsid w:val="003B3392"/>
    <w:rsid w:val="003B3ECE"/>
    <w:rsid w:val="003B6097"/>
    <w:rsid w:val="003B77BC"/>
    <w:rsid w:val="003C1085"/>
    <w:rsid w:val="003C48B2"/>
    <w:rsid w:val="003C582C"/>
    <w:rsid w:val="003C5AE8"/>
    <w:rsid w:val="003C5EED"/>
    <w:rsid w:val="003C6FC0"/>
    <w:rsid w:val="003C7117"/>
    <w:rsid w:val="003C7884"/>
    <w:rsid w:val="003C7C8D"/>
    <w:rsid w:val="003D159B"/>
    <w:rsid w:val="003D2C6C"/>
    <w:rsid w:val="003D3701"/>
    <w:rsid w:val="003D38C5"/>
    <w:rsid w:val="003D4653"/>
    <w:rsid w:val="003D4C46"/>
    <w:rsid w:val="003D5A54"/>
    <w:rsid w:val="003D5C1E"/>
    <w:rsid w:val="003D6AA0"/>
    <w:rsid w:val="003D6F8E"/>
    <w:rsid w:val="003E12F5"/>
    <w:rsid w:val="003E5233"/>
    <w:rsid w:val="003E57AA"/>
    <w:rsid w:val="003E6321"/>
    <w:rsid w:val="003F22EA"/>
    <w:rsid w:val="003F28F8"/>
    <w:rsid w:val="003F290E"/>
    <w:rsid w:val="003F2B6C"/>
    <w:rsid w:val="003F34E8"/>
    <w:rsid w:val="003F4699"/>
    <w:rsid w:val="003F52B4"/>
    <w:rsid w:val="00400EF3"/>
    <w:rsid w:val="00401A42"/>
    <w:rsid w:val="004032D8"/>
    <w:rsid w:val="00404391"/>
    <w:rsid w:val="00404CBB"/>
    <w:rsid w:val="00405D00"/>
    <w:rsid w:val="00407E06"/>
    <w:rsid w:val="00410BC3"/>
    <w:rsid w:val="00410CA5"/>
    <w:rsid w:val="00411F99"/>
    <w:rsid w:val="004143C3"/>
    <w:rsid w:val="00414533"/>
    <w:rsid w:val="004146F2"/>
    <w:rsid w:val="00415D71"/>
    <w:rsid w:val="004206D3"/>
    <w:rsid w:val="00423A84"/>
    <w:rsid w:val="00425615"/>
    <w:rsid w:val="00425E32"/>
    <w:rsid w:val="00426F4B"/>
    <w:rsid w:val="00427246"/>
    <w:rsid w:val="00427695"/>
    <w:rsid w:val="00432866"/>
    <w:rsid w:val="004344BC"/>
    <w:rsid w:val="00436BE7"/>
    <w:rsid w:val="00441133"/>
    <w:rsid w:val="004413BE"/>
    <w:rsid w:val="00442699"/>
    <w:rsid w:val="00443706"/>
    <w:rsid w:val="0044506E"/>
    <w:rsid w:val="0044517B"/>
    <w:rsid w:val="00445A0A"/>
    <w:rsid w:val="004462A5"/>
    <w:rsid w:val="0045251F"/>
    <w:rsid w:val="004536C8"/>
    <w:rsid w:val="004544CC"/>
    <w:rsid w:val="00454811"/>
    <w:rsid w:val="004605F2"/>
    <w:rsid w:val="004641B8"/>
    <w:rsid w:val="00465059"/>
    <w:rsid w:val="0046715C"/>
    <w:rsid w:val="004673BB"/>
    <w:rsid w:val="0047231D"/>
    <w:rsid w:val="00474819"/>
    <w:rsid w:val="00476251"/>
    <w:rsid w:val="00476464"/>
    <w:rsid w:val="0047663B"/>
    <w:rsid w:val="0047766C"/>
    <w:rsid w:val="00477AEA"/>
    <w:rsid w:val="00480A66"/>
    <w:rsid w:val="00480FE6"/>
    <w:rsid w:val="00482729"/>
    <w:rsid w:val="00483FA4"/>
    <w:rsid w:val="004841C7"/>
    <w:rsid w:val="00484A9E"/>
    <w:rsid w:val="00484D50"/>
    <w:rsid w:val="0048616D"/>
    <w:rsid w:val="00486FB8"/>
    <w:rsid w:val="004902E0"/>
    <w:rsid w:val="00492480"/>
    <w:rsid w:val="0049426F"/>
    <w:rsid w:val="004955DE"/>
    <w:rsid w:val="004A0FBC"/>
    <w:rsid w:val="004A1B2C"/>
    <w:rsid w:val="004A1F94"/>
    <w:rsid w:val="004A33C8"/>
    <w:rsid w:val="004A346C"/>
    <w:rsid w:val="004A374F"/>
    <w:rsid w:val="004A6391"/>
    <w:rsid w:val="004B12B9"/>
    <w:rsid w:val="004B2B04"/>
    <w:rsid w:val="004B2CD3"/>
    <w:rsid w:val="004B3B3A"/>
    <w:rsid w:val="004B3B5C"/>
    <w:rsid w:val="004B4120"/>
    <w:rsid w:val="004B520A"/>
    <w:rsid w:val="004B6653"/>
    <w:rsid w:val="004B750D"/>
    <w:rsid w:val="004B75B3"/>
    <w:rsid w:val="004C10D6"/>
    <w:rsid w:val="004C2095"/>
    <w:rsid w:val="004C467D"/>
    <w:rsid w:val="004C4ACF"/>
    <w:rsid w:val="004C5CEB"/>
    <w:rsid w:val="004C6854"/>
    <w:rsid w:val="004C6EDB"/>
    <w:rsid w:val="004D299A"/>
    <w:rsid w:val="004D480C"/>
    <w:rsid w:val="004D4FA0"/>
    <w:rsid w:val="004D5487"/>
    <w:rsid w:val="004D7464"/>
    <w:rsid w:val="004E02B6"/>
    <w:rsid w:val="004E037C"/>
    <w:rsid w:val="004E2753"/>
    <w:rsid w:val="004E3EC4"/>
    <w:rsid w:val="004E7369"/>
    <w:rsid w:val="004F113A"/>
    <w:rsid w:val="004F22C5"/>
    <w:rsid w:val="004F29D5"/>
    <w:rsid w:val="004F3059"/>
    <w:rsid w:val="004F5C41"/>
    <w:rsid w:val="004F6027"/>
    <w:rsid w:val="004F6CEE"/>
    <w:rsid w:val="005047E2"/>
    <w:rsid w:val="00506BDB"/>
    <w:rsid w:val="005071BE"/>
    <w:rsid w:val="00507831"/>
    <w:rsid w:val="005104F6"/>
    <w:rsid w:val="0051089A"/>
    <w:rsid w:val="00510ECF"/>
    <w:rsid w:val="005136BF"/>
    <w:rsid w:val="00515512"/>
    <w:rsid w:val="00515F21"/>
    <w:rsid w:val="00516D1F"/>
    <w:rsid w:val="005200CB"/>
    <w:rsid w:val="005206CC"/>
    <w:rsid w:val="0052107E"/>
    <w:rsid w:val="00521BB6"/>
    <w:rsid w:val="005225E9"/>
    <w:rsid w:val="00522646"/>
    <w:rsid w:val="00522867"/>
    <w:rsid w:val="00523181"/>
    <w:rsid w:val="00524009"/>
    <w:rsid w:val="0052572E"/>
    <w:rsid w:val="005263A7"/>
    <w:rsid w:val="00527270"/>
    <w:rsid w:val="00530622"/>
    <w:rsid w:val="00531851"/>
    <w:rsid w:val="00532AD1"/>
    <w:rsid w:val="005331F4"/>
    <w:rsid w:val="00533213"/>
    <w:rsid w:val="005339EB"/>
    <w:rsid w:val="00537D25"/>
    <w:rsid w:val="005403A6"/>
    <w:rsid w:val="005459A3"/>
    <w:rsid w:val="005473DA"/>
    <w:rsid w:val="00547528"/>
    <w:rsid w:val="00550C21"/>
    <w:rsid w:val="00554520"/>
    <w:rsid w:val="00557254"/>
    <w:rsid w:val="0056085A"/>
    <w:rsid w:val="00561950"/>
    <w:rsid w:val="005626BC"/>
    <w:rsid w:val="00562B6E"/>
    <w:rsid w:val="00562E52"/>
    <w:rsid w:val="00562F69"/>
    <w:rsid w:val="00562FB0"/>
    <w:rsid w:val="0056422F"/>
    <w:rsid w:val="00564F18"/>
    <w:rsid w:val="0056520E"/>
    <w:rsid w:val="005652AF"/>
    <w:rsid w:val="005675BC"/>
    <w:rsid w:val="00571D5E"/>
    <w:rsid w:val="00571F4D"/>
    <w:rsid w:val="00573D37"/>
    <w:rsid w:val="00574F69"/>
    <w:rsid w:val="00575CE4"/>
    <w:rsid w:val="005768A4"/>
    <w:rsid w:val="005769C7"/>
    <w:rsid w:val="005773E7"/>
    <w:rsid w:val="00581BE8"/>
    <w:rsid w:val="00582388"/>
    <w:rsid w:val="00582862"/>
    <w:rsid w:val="00583CC0"/>
    <w:rsid w:val="00583CFB"/>
    <w:rsid w:val="00584EE7"/>
    <w:rsid w:val="0058551D"/>
    <w:rsid w:val="005869AF"/>
    <w:rsid w:val="00592878"/>
    <w:rsid w:val="00592B4A"/>
    <w:rsid w:val="005A1EDF"/>
    <w:rsid w:val="005A3036"/>
    <w:rsid w:val="005A3523"/>
    <w:rsid w:val="005A3654"/>
    <w:rsid w:val="005A3986"/>
    <w:rsid w:val="005A4FCD"/>
    <w:rsid w:val="005B28C6"/>
    <w:rsid w:val="005B3E0C"/>
    <w:rsid w:val="005B5EB5"/>
    <w:rsid w:val="005B7C52"/>
    <w:rsid w:val="005C03B4"/>
    <w:rsid w:val="005C1725"/>
    <w:rsid w:val="005C48BF"/>
    <w:rsid w:val="005C4A06"/>
    <w:rsid w:val="005C517D"/>
    <w:rsid w:val="005D135F"/>
    <w:rsid w:val="005D38E9"/>
    <w:rsid w:val="005D3C3B"/>
    <w:rsid w:val="005D47B2"/>
    <w:rsid w:val="005D4E5E"/>
    <w:rsid w:val="005D6195"/>
    <w:rsid w:val="005D6AA9"/>
    <w:rsid w:val="005D7B98"/>
    <w:rsid w:val="005E154F"/>
    <w:rsid w:val="005E2136"/>
    <w:rsid w:val="005E317C"/>
    <w:rsid w:val="005E32B5"/>
    <w:rsid w:val="005E4B86"/>
    <w:rsid w:val="005E4DC0"/>
    <w:rsid w:val="005E559C"/>
    <w:rsid w:val="005F051B"/>
    <w:rsid w:val="005F0E10"/>
    <w:rsid w:val="005F2216"/>
    <w:rsid w:val="005F34AE"/>
    <w:rsid w:val="005F6F02"/>
    <w:rsid w:val="005F790D"/>
    <w:rsid w:val="005F7E9B"/>
    <w:rsid w:val="0060127A"/>
    <w:rsid w:val="006018C0"/>
    <w:rsid w:val="00610A41"/>
    <w:rsid w:val="0061100B"/>
    <w:rsid w:val="00613364"/>
    <w:rsid w:val="00614757"/>
    <w:rsid w:val="00616041"/>
    <w:rsid w:val="00616E82"/>
    <w:rsid w:val="0061707E"/>
    <w:rsid w:val="00620593"/>
    <w:rsid w:val="006215FC"/>
    <w:rsid w:val="006216B9"/>
    <w:rsid w:val="0062600B"/>
    <w:rsid w:val="00626511"/>
    <w:rsid w:val="00626D6B"/>
    <w:rsid w:val="006273A5"/>
    <w:rsid w:val="00630DAF"/>
    <w:rsid w:val="00631DB9"/>
    <w:rsid w:val="0063373B"/>
    <w:rsid w:val="00634211"/>
    <w:rsid w:val="006342A8"/>
    <w:rsid w:val="00635343"/>
    <w:rsid w:val="0064019B"/>
    <w:rsid w:val="00640FDA"/>
    <w:rsid w:val="006413E7"/>
    <w:rsid w:val="00641470"/>
    <w:rsid w:val="00643453"/>
    <w:rsid w:val="00644862"/>
    <w:rsid w:val="00644D0B"/>
    <w:rsid w:val="00644E19"/>
    <w:rsid w:val="00646269"/>
    <w:rsid w:val="00646554"/>
    <w:rsid w:val="00647A00"/>
    <w:rsid w:val="00650057"/>
    <w:rsid w:val="00651F30"/>
    <w:rsid w:val="00652EB7"/>
    <w:rsid w:val="006538B6"/>
    <w:rsid w:val="006557FF"/>
    <w:rsid w:val="006559A3"/>
    <w:rsid w:val="00656ADF"/>
    <w:rsid w:val="006579F3"/>
    <w:rsid w:val="00657D8E"/>
    <w:rsid w:val="00660767"/>
    <w:rsid w:val="00660F01"/>
    <w:rsid w:val="00661A64"/>
    <w:rsid w:val="00661D25"/>
    <w:rsid w:val="006621EA"/>
    <w:rsid w:val="00664533"/>
    <w:rsid w:val="006647D6"/>
    <w:rsid w:val="00665F7A"/>
    <w:rsid w:val="006666B5"/>
    <w:rsid w:val="00666A60"/>
    <w:rsid w:val="0066750C"/>
    <w:rsid w:val="00667BFF"/>
    <w:rsid w:val="00667DFE"/>
    <w:rsid w:val="0067239C"/>
    <w:rsid w:val="00672E5E"/>
    <w:rsid w:val="00674B64"/>
    <w:rsid w:val="00676C93"/>
    <w:rsid w:val="0067724D"/>
    <w:rsid w:val="00680144"/>
    <w:rsid w:val="00681ED7"/>
    <w:rsid w:val="00682CEF"/>
    <w:rsid w:val="00683B1B"/>
    <w:rsid w:val="006855D4"/>
    <w:rsid w:val="00687AAB"/>
    <w:rsid w:val="00691614"/>
    <w:rsid w:val="00691AE6"/>
    <w:rsid w:val="00693FDF"/>
    <w:rsid w:val="00694445"/>
    <w:rsid w:val="00694545"/>
    <w:rsid w:val="00695231"/>
    <w:rsid w:val="00696CA6"/>
    <w:rsid w:val="006A0F46"/>
    <w:rsid w:val="006A141E"/>
    <w:rsid w:val="006A25AA"/>
    <w:rsid w:val="006A408A"/>
    <w:rsid w:val="006A4C27"/>
    <w:rsid w:val="006A587E"/>
    <w:rsid w:val="006A5FDB"/>
    <w:rsid w:val="006A66BF"/>
    <w:rsid w:val="006A7188"/>
    <w:rsid w:val="006B050A"/>
    <w:rsid w:val="006B08EC"/>
    <w:rsid w:val="006B1AFD"/>
    <w:rsid w:val="006B22EE"/>
    <w:rsid w:val="006B2CED"/>
    <w:rsid w:val="006B301A"/>
    <w:rsid w:val="006B35EC"/>
    <w:rsid w:val="006B3757"/>
    <w:rsid w:val="006B3883"/>
    <w:rsid w:val="006B3C3B"/>
    <w:rsid w:val="006B5517"/>
    <w:rsid w:val="006B5958"/>
    <w:rsid w:val="006B681A"/>
    <w:rsid w:val="006B6936"/>
    <w:rsid w:val="006B7961"/>
    <w:rsid w:val="006C223A"/>
    <w:rsid w:val="006C33ED"/>
    <w:rsid w:val="006C3895"/>
    <w:rsid w:val="006C6AB4"/>
    <w:rsid w:val="006C7BA5"/>
    <w:rsid w:val="006D164F"/>
    <w:rsid w:val="006D18CE"/>
    <w:rsid w:val="006D26CC"/>
    <w:rsid w:val="006D484A"/>
    <w:rsid w:val="006D5F17"/>
    <w:rsid w:val="006D6FE9"/>
    <w:rsid w:val="006E09A7"/>
    <w:rsid w:val="006E0B7F"/>
    <w:rsid w:val="006E16D4"/>
    <w:rsid w:val="006E258C"/>
    <w:rsid w:val="006E2D62"/>
    <w:rsid w:val="006E3197"/>
    <w:rsid w:val="006E35DE"/>
    <w:rsid w:val="006E458E"/>
    <w:rsid w:val="006E5063"/>
    <w:rsid w:val="006E5A5D"/>
    <w:rsid w:val="006F01B3"/>
    <w:rsid w:val="006F1239"/>
    <w:rsid w:val="006F19EC"/>
    <w:rsid w:val="006F221B"/>
    <w:rsid w:val="006F4B41"/>
    <w:rsid w:val="006F5BB0"/>
    <w:rsid w:val="006F7220"/>
    <w:rsid w:val="006F79A9"/>
    <w:rsid w:val="006F7E09"/>
    <w:rsid w:val="007000C2"/>
    <w:rsid w:val="007014E6"/>
    <w:rsid w:val="00701B3F"/>
    <w:rsid w:val="00701CB0"/>
    <w:rsid w:val="00703813"/>
    <w:rsid w:val="00704F06"/>
    <w:rsid w:val="00706445"/>
    <w:rsid w:val="00707399"/>
    <w:rsid w:val="0070784D"/>
    <w:rsid w:val="007132F6"/>
    <w:rsid w:val="00713457"/>
    <w:rsid w:val="00713A1B"/>
    <w:rsid w:val="00713ED3"/>
    <w:rsid w:val="00714476"/>
    <w:rsid w:val="007223EB"/>
    <w:rsid w:val="00724432"/>
    <w:rsid w:val="00724F25"/>
    <w:rsid w:val="00731E49"/>
    <w:rsid w:val="0073538E"/>
    <w:rsid w:val="00735899"/>
    <w:rsid w:val="0073639E"/>
    <w:rsid w:val="00740082"/>
    <w:rsid w:val="007404C6"/>
    <w:rsid w:val="00741FFA"/>
    <w:rsid w:val="0074506A"/>
    <w:rsid w:val="00745BD2"/>
    <w:rsid w:val="007466B9"/>
    <w:rsid w:val="00746C92"/>
    <w:rsid w:val="007470CC"/>
    <w:rsid w:val="0075135E"/>
    <w:rsid w:val="007554B8"/>
    <w:rsid w:val="007600BD"/>
    <w:rsid w:val="007611B9"/>
    <w:rsid w:val="00761D2D"/>
    <w:rsid w:val="007621F4"/>
    <w:rsid w:val="00762386"/>
    <w:rsid w:val="0076270B"/>
    <w:rsid w:val="00762A3C"/>
    <w:rsid w:val="007635AB"/>
    <w:rsid w:val="00763F18"/>
    <w:rsid w:val="00765AAE"/>
    <w:rsid w:val="0076680F"/>
    <w:rsid w:val="00766C14"/>
    <w:rsid w:val="00767C6F"/>
    <w:rsid w:val="007700D9"/>
    <w:rsid w:val="00770330"/>
    <w:rsid w:val="00770DF3"/>
    <w:rsid w:val="00771D4E"/>
    <w:rsid w:val="007724B7"/>
    <w:rsid w:val="00775BE9"/>
    <w:rsid w:val="007813F4"/>
    <w:rsid w:val="00781693"/>
    <w:rsid w:val="00782E9F"/>
    <w:rsid w:val="00782FB5"/>
    <w:rsid w:val="00785D6F"/>
    <w:rsid w:val="00791433"/>
    <w:rsid w:val="00793C54"/>
    <w:rsid w:val="00793FD4"/>
    <w:rsid w:val="00794583"/>
    <w:rsid w:val="00795D01"/>
    <w:rsid w:val="007A232D"/>
    <w:rsid w:val="007A3BFB"/>
    <w:rsid w:val="007A3D49"/>
    <w:rsid w:val="007A4AFF"/>
    <w:rsid w:val="007A6332"/>
    <w:rsid w:val="007A6903"/>
    <w:rsid w:val="007A71DA"/>
    <w:rsid w:val="007A7456"/>
    <w:rsid w:val="007B0468"/>
    <w:rsid w:val="007B0E9F"/>
    <w:rsid w:val="007B1EBC"/>
    <w:rsid w:val="007B20C9"/>
    <w:rsid w:val="007B26BA"/>
    <w:rsid w:val="007B3963"/>
    <w:rsid w:val="007B4842"/>
    <w:rsid w:val="007B6B94"/>
    <w:rsid w:val="007C0B56"/>
    <w:rsid w:val="007C3002"/>
    <w:rsid w:val="007C3977"/>
    <w:rsid w:val="007C4534"/>
    <w:rsid w:val="007C4CFD"/>
    <w:rsid w:val="007C59F9"/>
    <w:rsid w:val="007D0B19"/>
    <w:rsid w:val="007D15CD"/>
    <w:rsid w:val="007D163C"/>
    <w:rsid w:val="007D381C"/>
    <w:rsid w:val="007D49E0"/>
    <w:rsid w:val="007D63FC"/>
    <w:rsid w:val="007D70A7"/>
    <w:rsid w:val="007D7F5B"/>
    <w:rsid w:val="007E0CD1"/>
    <w:rsid w:val="007E1B22"/>
    <w:rsid w:val="007E1CCB"/>
    <w:rsid w:val="007E366B"/>
    <w:rsid w:val="007E3888"/>
    <w:rsid w:val="007E626A"/>
    <w:rsid w:val="007E6BB6"/>
    <w:rsid w:val="007F0443"/>
    <w:rsid w:val="007F0649"/>
    <w:rsid w:val="007F0B16"/>
    <w:rsid w:val="007F1C64"/>
    <w:rsid w:val="007F7169"/>
    <w:rsid w:val="00800D73"/>
    <w:rsid w:val="0080133F"/>
    <w:rsid w:val="0080156F"/>
    <w:rsid w:val="00805CEA"/>
    <w:rsid w:val="00810FC9"/>
    <w:rsid w:val="00810FE6"/>
    <w:rsid w:val="00812E8D"/>
    <w:rsid w:val="008134E3"/>
    <w:rsid w:val="00813627"/>
    <w:rsid w:val="008165B6"/>
    <w:rsid w:val="00816A67"/>
    <w:rsid w:val="00817256"/>
    <w:rsid w:val="008205D6"/>
    <w:rsid w:val="00820CB1"/>
    <w:rsid w:val="008216E8"/>
    <w:rsid w:val="00821DED"/>
    <w:rsid w:val="00822505"/>
    <w:rsid w:val="00822BBB"/>
    <w:rsid w:val="008231E4"/>
    <w:rsid w:val="008246C8"/>
    <w:rsid w:val="00824934"/>
    <w:rsid w:val="00825024"/>
    <w:rsid w:val="00827BC8"/>
    <w:rsid w:val="00831112"/>
    <w:rsid w:val="00831695"/>
    <w:rsid w:val="00831A80"/>
    <w:rsid w:val="008328F3"/>
    <w:rsid w:val="00832B9F"/>
    <w:rsid w:val="008339F7"/>
    <w:rsid w:val="00834BF2"/>
    <w:rsid w:val="00836326"/>
    <w:rsid w:val="00836DD0"/>
    <w:rsid w:val="008379A5"/>
    <w:rsid w:val="0084022C"/>
    <w:rsid w:val="00840762"/>
    <w:rsid w:val="00841E83"/>
    <w:rsid w:val="00844CB1"/>
    <w:rsid w:val="0084621B"/>
    <w:rsid w:val="008462E1"/>
    <w:rsid w:val="00846EEA"/>
    <w:rsid w:val="00850F12"/>
    <w:rsid w:val="00852512"/>
    <w:rsid w:val="00853809"/>
    <w:rsid w:val="00856220"/>
    <w:rsid w:val="00861814"/>
    <w:rsid w:val="008650C4"/>
    <w:rsid w:val="00865D56"/>
    <w:rsid w:val="008674C2"/>
    <w:rsid w:val="00867F47"/>
    <w:rsid w:val="008700C8"/>
    <w:rsid w:val="00870216"/>
    <w:rsid w:val="00871605"/>
    <w:rsid w:val="00872069"/>
    <w:rsid w:val="00872A2E"/>
    <w:rsid w:val="00873399"/>
    <w:rsid w:val="008738FC"/>
    <w:rsid w:val="008745B8"/>
    <w:rsid w:val="008749BA"/>
    <w:rsid w:val="00874B0E"/>
    <w:rsid w:val="0087528B"/>
    <w:rsid w:val="00876417"/>
    <w:rsid w:val="0087649A"/>
    <w:rsid w:val="00880234"/>
    <w:rsid w:val="0088076D"/>
    <w:rsid w:val="00881D51"/>
    <w:rsid w:val="00881DCB"/>
    <w:rsid w:val="00881FE9"/>
    <w:rsid w:val="00882125"/>
    <w:rsid w:val="008828CE"/>
    <w:rsid w:val="00883151"/>
    <w:rsid w:val="00884411"/>
    <w:rsid w:val="0088633C"/>
    <w:rsid w:val="00886C5A"/>
    <w:rsid w:val="008901C9"/>
    <w:rsid w:val="00890C6E"/>
    <w:rsid w:val="0089303E"/>
    <w:rsid w:val="00896105"/>
    <w:rsid w:val="008976E9"/>
    <w:rsid w:val="00897D2E"/>
    <w:rsid w:val="008A006A"/>
    <w:rsid w:val="008A060F"/>
    <w:rsid w:val="008A528B"/>
    <w:rsid w:val="008A5659"/>
    <w:rsid w:val="008A62B3"/>
    <w:rsid w:val="008B0554"/>
    <w:rsid w:val="008B0ABC"/>
    <w:rsid w:val="008B23D8"/>
    <w:rsid w:val="008B589C"/>
    <w:rsid w:val="008B66DF"/>
    <w:rsid w:val="008B6BBF"/>
    <w:rsid w:val="008B7AEF"/>
    <w:rsid w:val="008C5BDC"/>
    <w:rsid w:val="008C6795"/>
    <w:rsid w:val="008C6F21"/>
    <w:rsid w:val="008D0C29"/>
    <w:rsid w:val="008D15C0"/>
    <w:rsid w:val="008D222D"/>
    <w:rsid w:val="008D25EC"/>
    <w:rsid w:val="008D2B9C"/>
    <w:rsid w:val="008D39B2"/>
    <w:rsid w:val="008D3AB7"/>
    <w:rsid w:val="008D5410"/>
    <w:rsid w:val="008D56CE"/>
    <w:rsid w:val="008D6210"/>
    <w:rsid w:val="008D678F"/>
    <w:rsid w:val="008E15CD"/>
    <w:rsid w:val="008E1DB5"/>
    <w:rsid w:val="008E2204"/>
    <w:rsid w:val="008E5A87"/>
    <w:rsid w:val="008F000E"/>
    <w:rsid w:val="008F1AA1"/>
    <w:rsid w:val="008F2809"/>
    <w:rsid w:val="008F2E01"/>
    <w:rsid w:val="008F35CD"/>
    <w:rsid w:val="008F422F"/>
    <w:rsid w:val="008F483D"/>
    <w:rsid w:val="008F4E71"/>
    <w:rsid w:val="008F57DF"/>
    <w:rsid w:val="009000BC"/>
    <w:rsid w:val="00903C39"/>
    <w:rsid w:val="0090457B"/>
    <w:rsid w:val="0090673B"/>
    <w:rsid w:val="0090709C"/>
    <w:rsid w:val="009103F1"/>
    <w:rsid w:val="009104EF"/>
    <w:rsid w:val="00910E1E"/>
    <w:rsid w:val="00913D67"/>
    <w:rsid w:val="0092060A"/>
    <w:rsid w:val="00920E1C"/>
    <w:rsid w:val="00920E7F"/>
    <w:rsid w:val="0092162E"/>
    <w:rsid w:val="009228BF"/>
    <w:rsid w:val="00924A65"/>
    <w:rsid w:val="00924AB5"/>
    <w:rsid w:val="009256D7"/>
    <w:rsid w:val="009266C3"/>
    <w:rsid w:val="00927A01"/>
    <w:rsid w:val="00930437"/>
    <w:rsid w:val="0093046F"/>
    <w:rsid w:val="0093057A"/>
    <w:rsid w:val="00930D81"/>
    <w:rsid w:val="00933A32"/>
    <w:rsid w:val="00933C46"/>
    <w:rsid w:val="0093504E"/>
    <w:rsid w:val="00936093"/>
    <w:rsid w:val="009373B3"/>
    <w:rsid w:val="0094208D"/>
    <w:rsid w:val="00942DE2"/>
    <w:rsid w:val="0094380E"/>
    <w:rsid w:val="00943DCD"/>
    <w:rsid w:val="00943FE0"/>
    <w:rsid w:val="009447CE"/>
    <w:rsid w:val="00945A87"/>
    <w:rsid w:val="00945D81"/>
    <w:rsid w:val="00945EFE"/>
    <w:rsid w:val="00946DB9"/>
    <w:rsid w:val="0095032E"/>
    <w:rsid w:val="00952BFC"/>
    <w:rsid w:val="00952EFB"/>
    <w:rsid w:val="009530FB"/>
    <w:rsid w:val="00953DD1"/>
    <w:rsid w:val="00953E69"/>
    <w:rsid w:val="00954F4D"/>
    <w:rsid w:val="00955D20"/>
    <w:rsid w:val="0095627C"/>
    <w:rsid w:val="009571E2"/>
    <w:rsid w:val="00961561"/>
    <w:rsid w:val="009617B8"/>
    <w:rsid w:val="0096306B"/>
    <w:rsid w:val="0096376A"/>
    <w:rsid w:val="0096386E"/>
    <w:rsid w:val="00963A9B"/>
    <w:rsid w:val="00964A79"/>
    <w:rsid w:val="00965EEE"/>
    <w:rsid w:val="009667D1"/>
    <w:rsid w:val="00966E70"/>
    <w:rsid w:val="00967B2C"/>
    <w:rsid w:val="00967BFE"/>
    <w:rsid w:val="00967F46"/>
    <w:rsid w:val="0097006A"/>
    <w:rsid w:val="009713FD"/>
    <w:rsid w:val="00971CFC"/>
    <w:rsid w:val="00972EA0"/>
    <w:rsid w:val="00973906"/>
    <w:rsid w:val="00973B0D"/>
    <w:rsid w:val="009760B4"/>
    <w:rsid w:val="00976212"/>
    <w:rsid w:val="00976B4D"/>
    <w:rsid w:val="00977412"/>
    <w:rsid w:val="009805DC"/>
    <w:rsid w:val="0098093E"/>
    <w:rsid w:val="009811AB"/>
    <w:rsid w:val="0098205A"/>
    <w:rsid w:val="00982A4E"/>
    <w:rsid w:val="009839FF"/>
    <w:rsid w:val="00983D7C"/>
    <w:rsid w:val="00983E15"/>
    <w:rsid w:val="00987A68"/>
    <w:rsid w:val="00987BFF"/>
    <w:rsid w:val="00987E68"/>
    <w:rsid w:val="00990243"/>
    <w:rsid w:val="009905DF"/>
    <w:rsid w:val="00991A27"/>
    <w:rsid w:val="00992773"/>
    <w:rsid w:val="00996485"/>
    <w:rsid w:val="00996BCA"/>
    <w:rsid w:val="00996E67"/>
    <w:rsid w:val="00997D7F"/>
    <w:rsid w:val="009A0425"/>
    <w:rsid w:val="009A1D55"/>
    <w:rsid w:val="009A23E9"/>
    <w:rsid w:val="009A2EAC"/>
    <w:rsid w:val="009A3935"/>
    <w:rsid w:val="009A5B9B"/>
    <w:rsid w:val="009A5FA3"/>
    <w:rsid w:val="009A6FA0"/>
    <w:rsid w:val="009B5B72"/>
    <w:rsid w:val="009B6D77"/>
    <w:rsid w:val="009B71F7"/>
    <w:rsid w:val="009C087A"/>
    <w:rsid w:val="009C0B10"/>
    <w:rsid w:val="009C1335"/>
    <w:rsid w:val="009C1537"/>
    <w:rsid w:val="009C15A6"/>
    <w:rsid w:val="009C16C6"/>
    <w:rsid w:val="009C1DE3"/>
    <w:rsid w:val="009C3598"/>
    <w:rsid w:val="009C46CA"/>
    <w:rsid w:val="009C5199"/>
    <w:rsid w:val="009C5C97"/>
    <w:rsid w:val="009C5E49"/>
    <w:rsid w:val="009C6527"/>
    <w:rsid w:val="009C7135"/>
    <w:rsid w:val="009C75D3"/>
    <w:rsid w:val="009C7E7A"/>
    <w:rsid w:val="009D131E"/>
    <w:rsid w:val="009D39F8"/>
    <w:rsid w:val="009D3CDE"/>
    <w:rsid w:val="009D462E"/>
    <w:rsid w:val="009D52B8"/>
    <w:rsid w:val="009D6C7B"/>
    <w:rsid w:val="009D72B9"/>
    <w:rsid w:val="009D7FD1"/>
    <w:rsid w:val="009E0043"/>
    <w:rsid w:val="009E1811"/>
    <w:rsid w:val="009E21C0"/>
    <w:rsid w:val="009E2CD7"/>
    <w:rsid w:val="009E38BE"/>
    <w:rsid w:val="009E39F0"/>
    <w:rsid w:val="009E3D50"/>
    <w:rsid w:val="009E401F"/>
    <w:rsid w:val="009E418A"/>
    <w:rsid w:val="009E46BE"/>
    <w:rsid w:val="009E596B"/>
    <w:rsid w:val="009E5C20"/>
    <w:rsid w:val="009F2145"/>
    <w:rsid w:val="009F2D0F"/>
    <w:rsid w:val="009F2E81"/>
    <w:rsid w:val="009F5DAF"/>
    <w:rsid w:val="009F6815"/>
    <w:rsid w:val="009F751F"/>
    <w:rsid w:val="00A00038"/>
    <w:rsid w:val="00A00F84"/>
    <w:rsid w:val="00A01735"/>
    <w:rsid w:val="00A01918"/>
    <w:rsid w:val="00A01D8F"/>
    <w:rsid w:val="00A02A77"/>
    <w:rsid w:val="00A03074"/>
    <w:rsid w:val="00A0351A"/>
    <w:rsid w:val="00A0449D"/>
    <w:rsid w:val="00A0474F"/>
    <w:rsid w:val="00A0512A"/>
    <w:rsid w:val="00A07C26"/>
    <w:rsid w:val="00A15169"/>
    <w:rsid w:val="00A15C68"/>
    <w:rsid w:val="00A16A70"/>
    <w:rsid w:val="00A173CD"/>
    <w:rsid w:val="00A20661"/>
    <w:rsid w:val="00A20942"/>
    <w:rsid w:val="00A222E3"/>
    <w:rsid w:val="00A22F45"/>
    <w:rsid w:val="00A23014"/>
    <w:rsid w:val="00A231FF"/>
    <w:rsid w:val="00A23731"/>
    <w:rsid w:val="00A2387D"/>
    <w:rsid w:val="00A25A95"/>
    <w:rsid w:val="00A275CD"/>
    <w:rsid w:val="00A2764B"/>
    <w:rsid w:val="00A276A7"/>
    <w:rsid w:val="00A30E63"/>
    <w:rsid w:val="00A3113E"/>
    <w:rsid w:val="00A31148"/>
    <w:rsid w:val="00A338E4"/>
    <w:rsid w:val="00A33A22"/>
    <w:rsid w:val="00A35469"/>
    <w:rsid w:val="00A362BC"/>
    <w:rsid w:val="00A40C21"/>
    <w:rsid w:val="00A43264"/>
    <w:rsid w:val="00A47BDE"/>
    <w:rsid w:val="00A5107E"/>
    <w:rsid w:val="00A51B6F"/>
    <w:rsid w:val="00A52CB3"/>
    <w:rsid w:val="00A605BF"/>
    <w:rsid w:val="00A60D47"/>
    <w:rsid w:val="00A618C9"/>
    <w:rsid w:val="00A62074"/>
    <w:rsid w:val="00A62157"/>
    <w:rsid w:val="00A63D2E"/>
    <w:rsid w:val="00A651AF"/>
    <w:rsid w:val="00A654E6"/>
    <w:rsid w:val="00A65A91"/>
    <w:rsid w:val="00A73F4B"/>
    <w:rsid w:val="00A760A5"/>
    <w:rsid w:val="00A77B30"/>
    <w:rsid w:val="00A804E0"/>
    <w:rsid w:val="00A80541"/>
    <w:rsid w:val="00A80C65"/>
    <w:rsid w:val="00A80D4A"/>
    <w:rsid w:val="00A80F4E"/>
    <w:rsid w:val="00A822DD"/>
    <w:rsid w:val="00A86CC0"/>
    <w:rsid w:val="00A90DC9"/>
    <w:rsid w:val="00A91A4F"/>
    <w:rsid w:val="00A91B50"/>
    <w:rsid w:val="00A91EE9"/>
    <w:rsid w:val="00A92CC7"/>
    <w:rsid w:val="00A92E05"/>
    <w:rsid w:val="00A95D15"/>
    <w:rsid w:val="00A97203"/>
    <w:rsid w:val="00A974B8"/>
    <w:rsid w:val="00AA1134"/>
    <w:rsid w:val="00AA1658"/>
    <w:rsid w:val="00AA2A33"/>
    <w:rsid w:val="00AA50CD"/>
    <w:rsid w:val="00AA5D9F"/>
    <w:rsid w:val="00AA6E37"/>
    <w:rsid w:val="00AA7848"/>
    <w:rsid w:val="00AB4104"/>
    <w:rsid w:val="00AB4A63"/>
    <w:rsid w:val="00AC0063"/>
    <w:rsid w:val="00AC4C7C"/>
    <w:rsid w:val="00AD0D12"/>
    <w:rsid w:val="00AD39E8"/>
    <w:rsid w:val="00AD733B"/>
    <w:rsid w:val="00AD78EB"/>
    <w:rsid w:val="00AE0485"/>
    <w:rsid w:val="00AE1F5E"/>
    <w:rsid w:val="00AE727D"/>
    <w:rsid w:val="00AF054A"/>
    <w:rsid w:val="00AF106B"/>
    <w:rsid w:val="00AF271C"/>
    <w:rsid w:val="00AF2F31"/>
    <w:rsid w:val="00AF4C84"/>
    <w:rsid w:val="00AF5187"/>
    <w:rsid w:val="00AF55A7"/>
    <w:rsid w:val="00AF7784"/>
    <w:rsid w:val="00B01FDE"/>
    <w:rsid w:val="00B03B7E"/>
    <w:rsid w:val="00B03C06"/>
    <w:rsid w:val="00B05029"/>
    <w:rsid w:val="00B0577C"/>
    <w:rsid w:val="00B076A9"/>
    <w:rsid w:val="00B079F6"/>
    <w:rsid w:val="00B1109C"/>
    <w:rsid w:val="00B13405"/>
    <w:rsid w:val="00B134CC"/>
    <w:rsid w:val="00B15229"/>
    <w:rsid w:val="00B16B14"/>
    <w:rsid w:val="00B173D1"/>
    <w:rsid w:val="00B21426"/>
    <w:rsid w:val="00B22896"/>
    <w:rsid w:val="00B23538"/>
    <w:rsid w:val="00B24158"/>
    <w:rsid w:val="00B24256"/>
    <w:rsid w:val="00B25235"/>
    <w:rsid w:val="00B25340"/>
    <w:rsid w:val="00B25CD7"/>
    <w:rsid w:val="00B27B62"/>
    <w:rsid w:val="00B31957"/>
    <w:rsid w:val="00B32047"/>
    <w:rsid w:val="00B32264"/>
    <w:rsid w:val="00B35C84"/>
    <w:rsid w:val="00B35EA4"/>
    <w:rsid w:val="00B36524"/>
    <w:rsid w:val="00B36661"/>
    <w:rsid w:val="00B37C06"/>
    <w:rsid w:val="00B418AF"/>
    <w:rsid w:val="00B436EE"/>
    <w:rsid w:val="00B43821"/>
    <w:rsid w:val="00B462B4"/>
    <w:rsid w:val="00B468AA"/>
    <w:rsid w:val="00B4745F"/>
    <w:rsid w:val="00B530BC"/>
    <w:rsid w:val="00B54AB7"/>
    <w:rsid w:val="00B56391"/>
    <w:rsid w:val="00B56896"/>
    <w:rsid w:val="00B572EF"/>
    <w:rsid w:val="00B6103F"/>
    <w:rsid w:val="00B64048"/>
    <w:rsid w:val="00B64E6E"/>
    <w:rsid w:val="00B66C3E"/>
    <w:rsid w:val="00B6731B"/>
    <w:rsid w:val="00B7108B"/>
    <w:rsid w:val="00B760C4"/>
    <w:rsid w:val="00B760CA"/>
    <w:rsid w:val="00B80567"/>
    <w:rsid w:val="00B81B9A"/>
    <w:rsid w:val="00B8201E"/>
    <w:rsid w:val="00B84B53"/>
    <w:rsid w:val="00B85AF8"/>
    <w:rsid w:val="00B86924"/>
    <w:rsid w:val="00B87EE8"/>
    <w:rsid w:val="00B93E09"/>
    <w:rsid w:val="00B94D53"/>
    <w:rsid w:val="00B955B8"/>
    <w:rsid w:val="00B95707"/>
    <w:rsid w:val="00B96209"/>
    <w:rsid w:val="00BA03C9"/>
    <w:rsid w:val="00BA0C71"/>
    <w:rsid w:val="00BA158B"/>
    <w:rsid w:val="00BA23C3"/>
    <w:rsid w:val="00BA4183"/>
    <w:rsid w:val="00BA468D"/>
    <w:rsid w:val="00BA603A"/>
    <w:rsid w:val="00BB206E"/>
    <w:rsid w:val="00BB5B42"/>
    <w:rsid w:val="00BB6478"/>
    <w:rsid w:val="00BB6C09"/>
    <w:rsid w:val="00BB6CC5"/>
    <w:rsid w:val="00BB6EA6"/>
    <w:rsid w:val="00BB7982"/>
    <w:rsid w:val="00BB7D46"/>
    <w:rsid w:val="00BC0057"/>
    <w:rsid w:val="00BC07F3"/>
    <w:rsid w:val="00BC2886"/>
    <w:rsid w:val="00BC2E22"/>
    <w:rsid w:val="00BC333F"/>
    <w:rsid w:val="00BC41E1"/>
    <w:rsid w:val="00BC45B6"/>
    <w:rsid w:val="00BC4B3D"/>
    <w:rsid w:val="00BC4D66"/>
    <w:rsid w:val="00BC5567"/>
    <w:rsid w:val="00BC626A"/>
    <w:rsid w:val="00BC74DD"/>
    <w:rsid w:val="00BD062E"/>
    <w:rsid w:val="00BD1102"/>
    <w:rsid w:val="00BD3EA9"/>
    <w:rsid w:val="00BD5958"/>
    <w:rsid w:val="00BE0183"/>
    <w:rsid w:val="00BE04CD"/>
    <w:rsid w:val="00BE0739"/>
    <w:rsid w:val="00BE0AE7"/>
    <w:rsid w:val="00BE1C21"/>
    <w:rsid w:val="00BE305E"/>
    <w:rsid w:val="00BE4550"/>
    <w:rsid w:val="00BE580F"/>
    <w:rsid w:val="00BE6402"/>
    <w:rsid w:val="00BE65B4"/>
    <w:rsid w:val="00BE66EB"/>
    <w:rsid w:val="00BF10A9"/>
    <w:rsid w:val="00BF3AF7"/>
    <w:rsid w:val="00BF4784"/>
    <w:rsid w:val="00BF5E10"/>
    <w:rsid w:val="00BF6FE2"/>
    <w:rsid w:val="00BF70FD"/>
    <w:rsid w:val="00C0109D"/>
    <w:rsid w:val="00C020AC"/>
    <w:rsid w:val="00C02E7A"/>
    <w:rsid w:val="00C03D6F"/>
    <w:rsid w:val="00C05B86"/>
    <w:rsid w:val="00C10E7B"/>
    <w:rsid w:val="00C12F0F"/>
    <w:rsid w:val="00C15D2B"/>
    <w:rsid w:val="00C163F5"/>
    <w:rsid w:val="00C2187D"/>
    <w:rsid w:val="00C223CC"/>
    <w:rsid w:val="00C27D10"/>
    <w:rsid w:val="00C312C2"/>
    <w:rsid w:val="00C31B4D"/>
    <w:rsid w:val="00C36E24"/>
    <w:rsid w:val="00C379E5"/>
    <w:rsid w:val="00C37B63"/>
    <w:rsid w:val="00C41593"/>
    <w:rsid w:val="00C435B1"/>
    <w:rsid w:val="00C44C28"/>
    <w:rsid w:val="00C4579C"/>
    <w:rsid w:val="00C45D62"/>
    <w:rsid w:val="00C462FE"/>
    <w:rsid w:val="00C464AD"/>
    <w:rsid w:val="00C475FF"/>
    <w:rsid w:val="00C47761"/>
    <w:rsid w:val="00C47843"/>
    <w:rsid w:val="00C478F9"/>
    <w:rsid w:val="00C50B89"/>
    <w:rsid w:val="00C50C5C"/>
    <w:rsid w:val="00C51745"/>
    <w:rsid w:val="00C526F5"/>
    <w:rsid w:val="00C54869"/>
    <w:rsid w:val="00C54DA6"/>
    <w:rsid w:val="00C55D17"/>
    <w:rsid w:val="00C560F9"/>
    <w:rsid w:val="00C60DF1"/>
    <w:rsid w:val="00C617BB"/>
    <w:rsid w:val="00C6299E"/>
    <w:rsid w:val="00C63EDE"/>
    <w:rsid w:val="00C64137"/>
    <w:rsid w:val="00C64804"/>
    <w:rsid w:val="00C736BF"/>
    <w:rsid w:val="00C74106"/>
    <w:rsid w:val="00C7433B"/>
    <w:rsid w:val="00C74D24"/>
    <w:rsid w:val="00C76A4F"/>
    <w:rsid w:val="00C800EB"/>
    <w:rsid w:val="00C80490"/>
    <w:rsid w:val="00C82015"/>
    <w:rsid w:val="00C82995"/>
    <w:rsid w:val="00C82A52"/>
    <w:rsid w:val="00C82F27"/>
    <w:rsid w:val="00C84238"/>
    <w:rsid w:val="00C84D12"/>
    <w:rsid w:val="00C90A61"/>
    <w:rsid w:val="00C91504"/>
    <w:rsid w:val="00C92D03"/>
    <w:rsid w:val="00C940C1"/>
    <w:rsid w:val="00C95567"/>
    <w:rsid w:val="00C95719"/>
    <w:rsid w:val="00C958B7"/>
    <w:rsid w:val="00C97E56"/>
    <w:rsid w:val="00CA05D3"/>
    <w:rsid w:val="00CA0980"/>
    <w:rsid w:val="00CA12A7"/>
    <w:rsid w:val="00CA19FB"/>
    <w:rsid w:val="00CA2ABB"/>
    <w:rsid w:val="00CA42A1"/>
    <w:rsid w:val="00CA4B78"/>
    <w:rsid w:val="00CA5351"/>
    <w:rsid w:val="00CA6ACA"/>
    <w:rsid w:val="00CA7513"/>
    <w:rsid w:val="00CA7E84"/>
    <w:rsid w:val="00CB0542"/>
    <w:rsid w:val="00CB2A10"/>
    <w:rsid w:val="00CB4B65"/>
    <w:rsid w:val="00CB4FCB"/>
    <w:rsid w:val="00CB5E52"/>
    <w:rsid w:val="00CB73E2"/>
    <w:rsid w:val="00CB7ADB"/>
    <w:rsid w:val="00CB7C65"/>
    <w:rsid w:val="00CC20BC"/>
    <w:rsid w:val="00CC45B1"/>
    <w:rsid w:val="00CC4818"/>
    <w:rsid w:val="00CC62B6"/>
    <w:rsid w:val="00CC6BDE"/>
    <w:rsid w:val="00CC750D"/>
    <w:rsid w:val="00CD14F1"/>
    <w:rsid w:val="00CD1DA3"/>
    <w:rsid w:val="00CD33C5"/>
    <w:rsid w:val="00CD4D08"/>
    <w:rsid w:val="00CD52EA"/>
    <w:rsid w:val="00CD540E"/>
    <w:rsid w:val="00CD7EC0"/>
    <w:rsid w:val="00CE0A95"/>
    <w:rsid w:val="00CE0CDC"/>
    <w:rsid w:val="00CE13BB"/>
    <w:rsid w:val="00CE23D7"/>
    <w:rsid w:val="00CF0965"/>
    <w:rsid w:val="00CF1232"/>
    <w:rsid w:val="00CF27AD"/>
    <w:rsid w:val="00CF3601"/>
    <w:rsid w:val="00CF3B09"/>
    <w:rsid w:val="00CF3EB3"/>
    <w:rsid w:val="00CF424D"/>
    <w:rsid w:val="00CF474D"/>
    <w:rsid w:val="00CF5756"/>
    <w:rsid w:val="00CF5E6F"/>
    <w:rsid w:val="00D035DA"/>
    <w:rsid w:val="00D0545A"/>
    <w:rsid w:val="00D06DF7"/>
    <w:rsid w:val="00D07DD7"/>
    <w:rsid w:val="00D12C82"/>
    <w:rsid w:val="00D15424"/>
    <w:rsid w:val="00D1546F"/>
    <w:rsid w:val="00D17281"/>
    <w:rsid w:val="00D205CA"/>
    <w:rsid w:val="00D256BC"/>
    <w:rsid w:val="00D25B06"/>
    <w:rsid w:val="00D26C9F"/>
    <w:rsid w:val="00D26FF1"/>
    <w:rsid w:val="00D3004C"/>
    <w:rsid w:val="00D31842"/>
    <w:rsid w:val="00D31A92"/>
    <w:rsid w:val="00D31F31"/>
    <w:rsid w:val="00D338BA"/>
    <w:rsid w:val="00D33997"/>
    <w:rsid w:val="00D33E2F"/>
    <w:rsid w:val="00D33F92"/>
    <w:rsid w:val="00D34781"/>
    <w:rsid w:val="00D35C83"/>
    <w:rsid w:val="00D37BFD"/>
    <w:rsid w:val="00D4306F"/>
    <w:rsid w:val="00D44C38"/>
    <w:rsid w:val="00D45484"/>
    <w:rsid w:val="00D45A0F"/>
    <w:rsid w:val="00D468F8"/>
    <w:rsid w:val="00D47E2B"/>
    <w:rsid w:val="00D5041E"/>
    <w:rsid w:val="00D506B3"/>
    <w:rsid w:val="00D507FF"/>
    <w:rsid w:val="00D50EB7"/>
    <w:rsid w:val="00D518BB"/>
    <w:rsid w:val="00D51F23"/>
    <w:rsid w:val="00D52B33"/>
    <w:rsid w:val="00D52DD4"/>
    <w:rsid w:val="00D52E09"/>
    <w:rsid w:val="00D5302D"/>
    <w:rsid w:val="00D53655"/>
    <w:rsid w:val="00D53F64"/>
    <w:rsid w:val="00D5408D"/>
    <w:rsid w:val="00D545C9"/>
    <w:rsid w:val="00D5497A"/>
    <w:rsid w:val="00D559A2"/>
    <w:rsid w:val="00D57368"/>
    <w:rsid w:val="00D5756A"/>
    <w:rsid w:val="00D57C36"/>
    <w:rsid w:val="00D57D3E"/>
    <w:rsid w:val="00D608B1"/>
    <w:rsid w:val="00D62031"/>
    <w:rsid w:val="00D62B4B"/>
    <w:rsid w:val="00D62D0E"/>
    <w:rsid w:val="00D65136"/>
    <w:rsid w:val="00D6682A"/>
    <w:rsid w:val="00D670C2"/>
    <w:rsid w:val="00D70E12"/>
    <w:rsid w:val="00D72120"/>
    <w:rsid w:val="00D72BA1"/>
    <w:rsid w:val="00D7379A"/>
    <w:rsid w:val="00D742A8"/>
    <w:rsid w:val="00D74D59"/>
    <w:rsid w:val="00D74F57"/>
    <w:rsid w:val="00D75690"/>
    <w:rsid w:val="00D75B71"/>
    <w:rsid w:val="00D761B3"/>
    <w:rsid w:val="00D762C1"/>
    <w:rsid w:val="00D76D41"/>
    <w:rsid w:val="00D77F96"/>
    <w:rsid w:val="00D80626"/>
    <w:rsid w:val="00D80D80"/>
    <w:rsid w:val="00D83DE3"/>
    <w:rsid w:val="00D8496D"/>
    <w:rsid w:val="00D863D0"/>
    <w:rsid w:val="00D86467"/>
    <w:rsid w:val="00D87B35"/>
    <w:rsid w:val="00D87FDE"/>
    <w:rsid w:val="00D90198"/>
    <w:rsid w:val="00D9151A"/>
    <w:rsid w:val="00D91E06"/>
    <w:rsid w:val="00D92322"/>
    <w:rsid w:val="00D92505"/>
    <w:rsid w:val="00D93507"/>
    <w:rsid w:val="00D938E8"/>
    <w:rsid w:val="00D93E22"/>
    <w:rsid w:val="00D952FD"/>
    <w:rsid w:val="00D95997"/>
    <w:rsid w:val="00D95AC5"/>
    <w:rsid w:val="00D95F3A"/>
    <w:rsid w:val="00D96427"/>
    <w:rsid w:val="00D968AF"/>
    <w:rsid w:val="00D97202"/>
    <w:rsid w:val="00DA02B9"/>
    <w:rsid w:val="00DA063D"/>
    <w:rsid w:val="00DA2105"/>
    <w:rsid w:val="00DA2C6A"/>
    <w:rsid w:val="00DA51F5"/>
    <w:rsid w:val="00DA58DC"/>
    <w:rsid w:val="00DA5EF3"/>
    <w:rsid w:val="00DA6E34"/>
    <w:rsid w:val="00DB144F"/>
    <w:rsid w:val="00DB2521"/>
    <w:rsid w:val="00DB3866"/>
    <w:rsid w:val="00DB4196"/>
    <w:rsid w:val="00DB6625"/>
    <w:rsid w:val="00DC07C1"/>
    <w:rsid w:val="00DC363B"/>
    <w:rsid w:val="00DC76FD"/>
    <w:rsid w:val="00DC7FDB"/>
    <w:rsid w:val="00DD0EAD"/>
    <w:rsid w:val="00DD1F15"/>
    <w:rsid w:val="00DD2DAC"/>
    <w:rsid w:val="00DD3368"/>
    <w:rsid w:val="00DD37ED"/>
    <w:rsid w:val="00DD3E27"/>
    <w:rsid w:val="00DD41B4"/>
    <w:rsid w:val="00DD5B41"/>
    <w:rsid w:val="00DD609B"/>
    <w:rsid w:val="00DD67FA"/>
    <w:rsid w:val="00DD7341"/>
    <w:rsid w:val="00DE0174"/>
    <w:rsid w:val="00DE01FF"/>
    <w:rsid w:val="00DE09E7"/>
    <w:rsid w:val="00DE19B9"/>
    <w:rsid w:val="00DE51EC"/>
    <w:rsid w:val="00DE6720"/>
    <w:rsid w:val="00DE6D7B"/>
    <w:rsid w:val="00DE736B"/>
    <w:rsid w:val="00DF0A61"/>
    <w:rsid w:val="00DF0F1F"/>
    <w:rsid w:val="00DF1824"/>
    <w:rsid w:val="00DF1B45"/>
    <w:rsid w:val="00DF1CFD"/>
    <w:rsid w:val="00DF28A7"/>
    <w:rsid w:val="00DF4D98"/>
    <w:rsid w:val="00DF565C"/>
    <w:rsid w:val="00DF630E"/>
    <w:rsid w:val="00DF682A"/>
    <w:rsid w:val="00DF6B59"/>
    <w:rsid w:val="00DF6BA9"/>
    <w:rsid w:val="00DF6C24"/>
    <w:rsid w:val="00DF701E"/>
    <w:rsid w:val="00DF7ACA"/>
    <w:rsid w:val="00DF7D27"/>
    <w:rsid w:val="00E0127D"/>
    <w:rsid w:val="00E01CDF"/>
    <w:rsid w:val="00E02C38"/>
    <w:rsid w:val="00E04038"/>
    <w:rsid w:val="00E0444F"/>
    <w:rsid w:val="00E06A1E"/>
    <w:rsid w:val="00E06F5F"/>
    <w:rsid w:val="00E07326"/>
    <w:rsid w:val="00E07677"/>
    <w:rsid w:val="00E07D03"/>
    <w:rsid w:val="00E10E1C"/>
    <w:rsid w:val="00E1169B"/>
    <w:rsid w:val="00E11B71"/>
    <w:rsid w:val="00E11BD8"/>
    <w:rsid w:val="00E13134"/>
    <w:rsid w:val="00E13574"/>
    <w:rsid w:val="00E21AD2"/>
    <w:rsid w:val="00E2353B"/>
    <w:rsid w:val="00E23DEC"/>
    <w:rsid w:val="00E244E8"/>
    <w:rsid w:val="00E250CF"/>
    <w:rsid w:val="00E31087"/>
    <w:rsid w:val="00E31CF1"/>
    <w:rsid w:val="00E33031"/>
    <w:rsid w:val="00E34B04"/>
    <w:rsid w:val="00E35639"/>
    <w:rsid w:val="00E364B4"/>
    <w:rsid w:val="00E367BB"/>
    <w:rsid w:val="00E36D4E"/>
    <w:rsid w:val="00E3796D"/>
    <w:rsid w:val="00E404D6"/>
    <w:rsid w:val="00E410AB"/>
    <w:rsid w:val="00E41699"/>
    <w:rsid w:val="00E41D31"/>
    <w:rsid w:val="00E4269F"/>
    <w:rsid w:val="00E45A1B"/>
    <w:rsid w:val="00E4680D"/>
    <w:rsid w:val="00E47841"/>
    <w:rsid w:val="00E5005C"/>
    <w:rsid w:val="00E50094"/>
    <w:rsid w:val="00E50ED2"/>
    <w:rsid w:val="00E51E31"/>
    <w:rsid w:val="00E521C4"/>
    <w:rsid w:val="00E62828"/>
    <w:rsid w:val="00E63279"/>
    <w:rsid w:val="00E63C27"/>
    <w:rsid w:val="00E63C51"/>
    <w:rsid w:val="00E642A6"/>
    <w:rsid w:val="00E6536D"/>
    <w:rsid w:val="00E66F22"/>
    <w:rsid w:val="00E67AF7"/>
    <w:rsid w:val="00E721D8"/>
    <w:rsid w:val="00E7302C"/>
    <w:rsid w:val="00E7615A"/>
    <w:rsid w:val="00E77A9E"/>
    <w:rsid w:val="00E77B8B"/>
    <w:rsid w:val="00E83E55"/>
    <w:rsid w:val="00E849CF"/>
    <w:rsid w:val="00E854C3"/>
    <w:rsid w:val="00E85BE8"/>
    <w:rsid w:val="00E904E6"/>
    <w:rsid w:val="00E9257A"/>
    <w:rsid w:val="00E92B5B"/>
    <w:rsid w:val="00E9351E"/>
    <w:rsid w:val="00E93C5E"/>
    <w:rsid w:val="00E96A3E"/>
    <w:rsid w:val="00E978D8"/>
    <w:rsid w:val="00EA00B8"/>
    <w:rsid w:val="00EA0541"/>
    <w:rsid w:val="00EA0BB9"/>
    <w:rsid w:val="00EA2A54"/>
    <w:rsid w:val="00EA52BA"/>
    <w:rsid w:val="00EA701A"/>
    <w:rsid w:val="00EB07B2"/>
    <w:rsid w:val="00EB1358"/>
    <w:rsid w:val="00EB1999"/>
    <w:rsid w:val="00EB2622"/>
    <w:rsid w:val="00EB3421"/>
    <w:rsid w:val="00EB4C94"/>
    <w:rsid w:val="00EB4E2A"/>
    <w:rsid w:val="00EB5E12"/>
    <w:rsid w:val="00EB732C"/>
    <w:rsid w:val="00EB7626"/>
    <w:rsid w:val="00EC3298"/>
    <w:rsid w:val="00EC3A56"/>
    <w:rsid w:val="00EC4769"/>
    <w:rsid w:val="00EC4B93"/>
    <w:rsid w:val="00EC5998"/>
    <w:rsid w:val="00ED1AC5"/>
    <w:rsid w:val="00ED1DE6"/>
    <w:rsid w:val="00ED2305"/>
    <w:rsid w:val="00ED2768"/>
    <w:rsid w:val="00ED3329"/>
    <w:rsid w:val="00ED3F2B"/>
    <w:rsid w:val="00ED4E1F"/>
    <w:rsid w:val="00ED5F51"/>
    <w:rsid w:val="00ED62FA"/>
    <w:rsid w:val="00EE07D2"/>
    <w:rsid w:val="00EE1355"/>
    <w:rsid w:val="00EE27D7"/>
    <w:rsid w:val="00EE3FDF"/>
    <w:rsid w:val="00EE617B"/>
    <w:rsid w:val="00EE7D8B"/>
    <w:rsid w:val="00EF1058"/>
    <w:rsid w:val="00EF1959"/>
    <w:rsid w:val="00EF56A3"/>
    <w:rsid w:val="00EF653F"/>
    <w:rsid w:val="00EF75CD"/>
    <w:rsid w:val="00EF77A5"/>
    <w:rsid w:val="00EF7803"/>
    <w:rsid w:val="00EF7D87"/>
    <w:rsid w:val="00F02EB6"/>
    <w:rsid w:val="00F04CAF"/>
    <w:rsid w:val="00F04D29"/>
    <w:rsid w:val="00F066B8"/>
    <w:rsid w:val="00F06862"/>
    <w:rsid w:val="00F07211"/>
    <w:rsid w:val="00F07528"/>
    <w:rsid w:val="00F10950"/>
    <w:rsid w:val="00F11514"/>
    <w:rsid w:val="00F11741"/>
    <w:rsid w:val="00F1256A"/>
    <w:rsid w:val="00F14428"/>
    <w:rsid w:val="00F1597E"/>
    <w:rsid w:val="00F16B70"/>
    <w:rsid w:val="00F204A3"/>
    <w:rsid w:val="00F211F7"/>
    <w:rsid w:val="00F21C3C"/>
    <w:rsid w:val="00F23827"/>
    <w:rsid w:val="00F24104"/>
    <w:rsid w:val="00F247B6"/>
    <w:rsid w:val="00F25CD2"/>
    <w:rsid w:val="00F25F7F"/>
    <w:rsid w:val="00F26AC2"/>
    <w:rsid w:val="00F30C14"/>
    <w:rsid w:val="00F30C32"/>
    <w:rsid w:val="00F32350"/>
    <w:rsid w:val="00F40B31"/>
    <w:rsid w:val="00F40DF0"/>
    <w:rsid w:val="00F40FC9"/>
    <w:rsid w:val="00F41027"/>
    <w:rsid w:val="00F414C3"/>
    <w:rsid w:val="00F41555"/>
    <w:rsid w:val="00F42683"/>
    <w:rsid w:val="00F44034"/>
    <w:rsid w:val="00F45D81"/>
    <w:rsid w:val="00F45E1B"/>
    <w:rsid w:val="00F46F10"/>
    <w:rsid w:val="00F47ADF"/>
    <w:rsid w:val="00F47FAD"/>
    <w:rsid w:val="00F5171E"/>
    <w:rsid w:val="00F528CF"/>
    <w:rsid w:val="00F53166"/>
    <w:rsid w:val="00F539D2"/>
    <w:rsid w:val="00F54364"/>
    <w:rsid w:val="00F54B69"/>
    <w:rsid w:val="00F54FA3"/>
    <w:rsid w:val="00F55610"/>
    <w:rsid w:val="00F55D0A"/>
    <w:rsid w:val="00F61F78"/>
    <w:rsid w:val="00F635CF"/>
    <w:rsid w:val="00F63FEF"/>
    <w:rsid w:val="00F645CA"/>
    <w:rsid w:val="00F648EE"/>
    <w:rsid w:val="00F64C20"/>
    <w:rsid w:val="00F64F86"/>
    <w:rsid w:val="00F6692B"/>
    <w:rsid w:val="00F67632"/>
    <w:rsid w:val="00F67857"/>
    <w:rsid w:val="00F72C67"/>
    <w:rsid w:val="00F76BAD"/>
    <w:rsid w:val="00F77667"/>
    <w:rsid w:val="00F77AC2"/>
    <w:rsid w:val="00F807A0"/>
    <w:rsid w:val="00F8093A"/>
    <w:rsid w:val="00F81CAB"/>
    <w:rsid w:val="00F82612"/>
    <w:rsid w:val="00F83937"/>
    <w:rsid w:val="00F84273"/>
    <w:rsid w:val="00F84344"/>
    <w:rsid w:val="00F848C1"/>
    <w:rsid w:val="00F85051"/>
    <w:rsid w:val="00F853D0"/>
    <w:rsid w:val="00F867A8"/>
    <w:rsid w:val="00F87AC1"/>
    <w:rsid w:val="00F87B60"/>
    <w:rsid w:val="00F942B4"/>
    <w:rsid w:val="00F9592B"/>
    <w:rsid w:val="00F962C1"/>
    <w:rsid w:val="00F96E5A"/>
    <w:rsid w:val="00FA06AF"/>
    <w:rsid w:val="00FA17B0"/>
    <w:rsid w:val="00FA21D6"/>
    <w:rsid w:val="00FA22B4"/>
    <w:rsid w:val="00FA304C"/>
    <w:rsid w:val="00FA36B5"/>
    <w:rsid w:val="00FA61CB"/>
    <w:rsid w:val="00FA66D8"/>
    <w:rsid w:val="00FA7A80"/>
    <w:rsid w:val="00FB04F0"/>
    <w:rsid w:val="00FB0686"/>
    <w:rsid w:val="00FB24AC"/>
    <w:rsid w:val="00FB3F50"/>
    <w:rsid w:val="00FB5704"/>
    <w:rsid w:val="00FB5D61"/>
    <w:rsid w:val="00FB5F72"/>
    <w:rsid w:val="00FB7460"/>
    <w:rsid w:val="00FC0891"/>
    <w:rsid w:val="00FC545A"/>
    <w:rsid w:val="00FD120F"/>
    <w:rsid w:val="00FD15C4"/>
    <w:rsid w:val="00FD2FB3"/>
    <w:rsid w:val="00FD344A"/>
    <w:rsid w:val="00FD5735"/>
    <w:rsid w:val="00FD6259"/>
    <w:rsid w:val="00FD7F25"/>
    <w:rsid w:val="00FD7FEC"/>
    <w:rsid w:val="00FE4A32"/>
    <w:rsid w:val="00FE501C"/>
    <w:rsid w:val="00FE5438"/>
    <w:rsid w:val="00FE67AA"/>
    <w:rsid w:val="00FE7A7B"/>
    <w:rsid w:val="00FF13FB"/>
    <w:rsid w:val="00FF1D97"/>
    <w:rsid w:val="00FF3E66"/>
    <w:rsid w:val="00FF4358"/>
    <w:rsid w:val="00FF4589"/>
    <w:rsid w:val="00FF4844"/>
    <w:rsid w:val="00FF4E79"/>
    <w:rsid w:val="00FF75D8"/>
    <w:rsid w:val="010F2817"/>
    <w:rsid w:val="02FF2140"/>
    <w:rsid w:val="03380B66"/>
    <w:rsid w:val="03AD2ABC"/>
    <w:rsid w:val="04BD5452"/>
    <w:rsid w:val="056A6870"/>
    <w:rsid w:val="084D7C2D"/>
    <w:rsid w:val="08814D18"/>
    <w:rsid w:val="08A33F65"/>
    <w:rsid w:val="09E9764E"/>
    <w:rsid w:val="0B904506"/>
    <w:rsid w:val="0C13125D"/>
    <w:rsid w:val="0C897FA2"/>
    <w:rsid w:val="0E3C75E8"/>
    <w:rsid w:val="0EE614B0"/>
    <w:rsid w:val="11723C68"/>
    <w:rsid w:val="11C07D2D"/>
    <w:rsid w:val="124F3295"/>
    <w:rsid w:val="1264323B"/>
    <w:rsid w:val="130B364F"/>
    <w:rsid w:val="13887B1A"/>
    <w:rsid w:val="142B2BA6"/>
    <w:rsid w:val="14775224"/>
    <w:rsid w:val="15460D75"/>
    <w:rsid w:val="155B5497"/>
    <w:rsid w:val="172F6697"/>
    <w:rsid w:val="19AD57B1"/>
    <w:rsid w:val="1A1B2562"/>
    <w:rsid w:val="1A7E0088"/>
    <w:rsid w:val="1A87520B"/>
    <w:rsid w:val="1B2A271F"/>
    <w:rsid w:val="1BC4709A"/>
    <w:rsid w:val="1BE54257"/>
    <w:rsid w:val="1C2516BD"/>
    <w:rsid w:val="1C2E454B"/>
    <w:rsid w:val="1CAF6FC9"/>
    <w:rsid w:val="1CDB7617"/>
    <w:rsid w:val="1DB72D4D"/>
    <w:rsid w:val="1FBB7F9F"/>
    <w:rsid w:val="20C34F4E"/>
    <w:rsid w:val="210F75CC"/>
    <w:rsid w:val="21664758"/>
    <w:rsid w:val="21E522AB"/>
    <w:rsid w:val="22C20EB2"/>
    <w:rsid w:val="23904531"/>
    <w:rsid w:val="23C50DBF"/>
    <w:rsid w:val="24283062"/>
    <w:rsid w:val="254C40BE"/>
    <w:rsid w:val="258E03AA"/>
    <w:rsid w:val="26505EEA"/>
    <w:rsid w:val="2692570E"/>
    <w:rsid w:val="26BE651E"/>
    <w:rsid w:val="270F40F6"/>
    <w:rsid w:val="28B1694E"/>
    <w:rsid w:val="2A847B4D"/>
    <w:rsid w:val="2A997AF3"/>
    <w:rsid w:val="2B5A68AC"/>
    <w:rsid w:val="2C401128"/>
    <w:rsid w:val="2C6B57F0"/>
    <w:rsid w:val="2C9917B7"/>
    <w:rsid w:val="2D374869"/>
    <w:rsid w:val="2D5A7676"/>
    <w:rsid w:val="2F4C2A75"/>
    <w:rsid w:val="2FC51CEF"/>
    <w:rsid w:val="309F7453"/>
    <w:rsid w:val="32396601"/>
    <w:rsid w:val="32460A89"/>
    <w:rsid w:val="329C1497"/>
    <w:rsid w:val="33B77665"/>
    <w:rsid w:val="3425417D"/>
    <w:rsid w:val="34554A88"/>
    <w:rsid w:val="354400F1"/>
    <w:rsid w:val="36773765"/>
    <w:rsid w:val="36E5781D"/>
    <w:rsid w:val="37D54F27"/>
    <w:rsid w:val="386F483D"/>
    <w:rsid w:val="38BE3C5A"/>
    <w:rsid w:val="38D8462E"/>
    <w:rsid w:val="38F06979"/>
    <w:rsid w:val="3905309B"/>
    <w:rsid w:val="39227032"/>
    <w:rsid w:val="395A05A6"/>
    <w:rsid w:val="39646937"/>
    <w:rsid w:val="3AD65514"/>
    <w:rsid w:val="3B4E3ED9"/>
    <w:rsid w:val="3CF5550F"/>
    <w:rsid w:val="3D887951"/>
    <w:rsid w:val="3DFA733B"/>
    <w:rsid w:val="3E243A02"/>
    <w:rsid w:val="3F8C2594"/>
    <w:rsid w:val="3FA23E73"/>
    <w:rsid w:val="41CA6CFC"/>
    <w:rsid w:val="42EE6E5E"/>
    <w:rsid w:val="42EF105C"/>
    <w:rsid w:val="43DF41E8"/>
    <w:rsid w:val="44E055CC"/>
    <w:rsid w:val="45111FDC"/>
    <w:rsid w:val="45647867"/>
    <w:rsid w:val="45AE2E61"/>
    <w:rsid w:val="45F22AE7"/>
    <w:rsid w:val="46336C3B"/>
    <w:rsid w:val="46737A24"/>
    <w:rsid w:val="468A764A"/>
    <w:rsid w:val="476971AF"/>
    <w:rsid w:val="477D598D"/>
    <w:rsid w:val="48B459D5"/>
    <w:rsid w:val="48D20BA8"/>
    <w:rsid w:val="4A0465FC"/>
    <w:rsid w:val="4A9216E3"/>
    <w:rsid w:val="4AC64CAB"/>
    <w:rsid w:val="4C193AE8"/>
    <w:rsid w:val="4CA56FFE"/>
    <w:rsid w:val="4CE64136"/>
    <w:rsid w:val="4CF6702F"/>
    <w:rsid w:val="4DB23926"/>
    <w:rsid w:val="4E635C6A"/>
    <w:rsid w:val="4E781049"/>
    <w:rsid w:val="4ED602F1"/>
    <w:rsid w:val="4F506B2E"/>
    <w:rsid w:val="4F9669AB"/>
    <w:rsid w:val="51384450"/>
    <w:rsid w:val="52932754"/>
    <w:rsid w:val="52EC7319"/>
    <w:rsid w:val="53990737"/>
    <w:rsid w:val="54A85071"/>
    <w:rsid w:val="54DE7749"/>
    <w:rsid w:val="55454E9F"/>
    <w:rsid w:val="55D3095A"/>
    <w:rsid w:val="55DB1498"/>
    <w:rsid w:val="576A00F7"/>
    <w:rsid w:val="578135A0"/>
    <w:rsid w:val="57B63580"/>
    <w:rsid w:val="57F62825"/>
    <w:rsid w:val="58633B93"/>
    <w:rsid w:val="58B15E90"/>
    <w:rsid w:val="58DB6CD4"/>
    <w:rsid w:val="5A407D35"/>
    <w:rsid w:val="5A865651"/>
    <w:rsid w:val="5B9E55DE"/>
    <w:rsid w:val="5C1F6E31"/>
    <w:rsid w:val="5CC96D4C"/>
    <w:rsid w:val="5D2353DA"/>
    <w:rsid w:val="5DB22501"/>
    <w:rsid w:val="5EAD7F1B"/>
    <w:rsid w:val="5F164911"/>
    <w:rsid w:val="5F576B1E"/>
    <w:rsid w:val="60052F14"/>
    <w:rsid w:val="60BF1449"/>
    <w:rsid w:val="6333694F"/>
    <w:rsid w:val="63D66158"/>
    <w:rsid w:val="63E044E9"/>
    <w:rsid w:val="64795237"/>
    <w:rsid w:val="64C53862"/>
    <w:rsid w:val="659F4066"/>
    <w:rsid w:val="65B75ABA"/>
    <w:rsid w:val="65D50A74"/>
    <w:rsid w:val="65E90142"/>
    <w:rsid w:val="660A2875"/>
    <w:rsid w:val="663372F4"/>
    <w:rsid w:val="67FD1DAB"/>
    <w:rsid w:val="6808013C"/>
    <w:rsid w:val="69C61397"/>
    <w:rsid w:val="6A4F163A"/>
    <w:rsid w:val="6B7845E0"/>
    <w:rsid w:val="6BA936CA"/>
    <w:rsid w:val="6D351FB7"/>
    <w:rsid w:val="6D400349"/>
    <w:rsid w:val="6D601F02"/>
    <w:rsid w:val="6DFA403A"/>
    <w:rsid w:val="6F6C7BC6"/>
    <w:rsid w:val="6F7F6679"/>
    <w:rsid w:val="70670E83"/>
    <w:rsid w:val="70EF55D6"/>
    <w:rsid w:val="710651FB"/>
    <w:rsid w:val="712C03F3"/>
    <w:rsid w:val="71736F8B"/>
    <w:rsid w:val="723536EF"/>
    <w:rsid w:val="73BC69EE"/>
    <w:rsid w:val="73FF295B"/>
    <w:rsid w:val="758206FF"/>
    <w:rsid w:val="77C4430A"/>
    <w:rsid w:val="77E5188E"/>
    <w:rsid w:val="7D1B284D"/>
    <w:rsid w:val="7DBE58DA"/>
    <w:rsid w:val="7E0935CE"/>
    <w:rsid w:val="7E2F489C"/>
    <w:rsid w:val="7EED3DCE"/>
    <w:rsid w:val="7FA13086"/>
    <w:rsid w:val="7FD178C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semiHidden="0" w:uiPriority="39" w:qFormat="1"/>
    <w:lsdException w:name="toc 9" w:semiHidden="0" w:uiPriority="39" w:qFormat="1"/>
    <w:lsdException w:name="footnote text" w:semiHidden="0" w:uiPriority="0" w:unhideWhenUsed="0" w:qFormat="1"/>
    <w:lsdException w:name="annotation text" w:semiHidden="0" w:uiPriority="0" w:unhideWhenUsed="0" w:qFormat="1"/>
    <w:lsdException w:name="header" w:semiHidden="0" w:uiPriority="0" w:unhideWhenUsed="0" w:qFormat="1"/>
    <w:lsdException w:name="footer" w:semiHidden="0" w:unhideWhenUsed="0" w:qFormat="1"/>
    <w:lsdException w:name="caption" w:uiPriority="35" w:qFormat="1"/>
    <w:lsdException w:name="footnote reference" w:semiHidden="0" w:uiPriority="0" w:unhideWhenUsed="0" w:qFormat="1"/>
    <w:lsdException w:name="Title" w:semiHidden="0" w:uiPriority="0" w:unhideWhenUsed="0" w:qFormat="1"/>
    <w:lsdException w:name="Default Paragraph Font" w:semiHidden="0" w:uiPriority="1" w:qFormat="1"/>
    <w:lsdException w:name="Subtitle" w:semiHidden="0" w:uiPriority="0" w:unhideWhenUsed="0" w:qFormat="1"/>
    <w:lsdException w:name="Hyperlink" w:semiHidden="0" w:unhideWhenUsed="0" w:qFormat="1"/>
    <w:lsdException w:name="Strong" w:semiHidden="0" w:uiPriority="22" w:unhideWhenUsed="0" w:qFormat="1"/>
    <w:lsdException w:name="Emphasis" w:semiHidden="0" w:uiPriority="20" w:unhideWhenUsed="0" w:qFormat="1"/>
    <w:lsdException w:name="Document Map" w:semiHidden="0" w:qFormat="1"/>
    <w:lsdException w:name="Normal (Web)" w:semiHidden="0" w:qFormat="1"/>
    <w:lsdException w:name="HTML Preformatted" w:semiHidden="0" w:qFormat="1"/>
    <w:lsdException w:name="Normal Table" w:semiHidden="0" w:qFormat="1"/>
    <w:lsdException w:name="Balloon Text" w:semiHidden="0" w:uiPriority="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02B9"/>
    <w:pPr>
      <w:widowControl w:val="0"/>
      <w:jc w:val="both"/>
    </w:pPr>
    <w:rPr>
      <w:rFonts w:ascii="Calibri" w:hAnsi="Calibri"/>
      <w:kern w:val="2"/>
      <w:sz w:val="21"/>
      <w:szCs w:val="22"/>
    </w:rPr>
  </w:style>
  <w:style w:type="paragraph" w:styleId="1">
    <w:name w:val="heading 1"/>
    <w:basedOn w:val="a"/>
    <w:next w:val="a"/>
    <w:link w:val="1Char"/>
    <w:qFormat/>
    <w:rsid w:val="00DA02B9"/>
    <w:pPr>
      <w:keepNext/>
      <w:keepLines/>
      <w:spacing w:before="340" w:after="330" w:line="576" w:lineRule="auto"/>
      <w:outlineLvl w:val="0"/>
    </w:pPr>
    <w:rPr>
      <w:rFonts w:ascii="Times New Roman" w:hAnsi="Times New Roman"/>
      <w:b/>
      <w:bCs/>
      <w:kern w:val="44"/>
      <w:sz w:val="44"/>
      <w:szCs w:val="44"/>
    </w:rPr>
  </w:style>
  <w:style w:type="paragraph" w:styleId="2">
    <w:name w:val="heading 2"/>
    <w:basedOn w:val="a"/>
    <w:next w:val="a"/>
    <w:link w:val="2Char"/>
    <w:qFormat/>
    <w:rsid w:val="00DA02B9"/>
    <w:pPr>
      <w:keepNext/>
      <w:keepLines/>
      <w:spacing w:before="260" w:after="260" w:line="413" w:lineRule="auto"/>
      <w:outlineLvl w:val="1"/>
    </w:pPr>
    <w:rPr>
      <w:rFonts w:ascii="Cambria" w:hAnsi="Cambria"/>
      <w:b/>
      <w:bCs/>
      <w:kern w:val="0"/>
      <w:sz w:val="32"/>
      <w:szCs w:val="32"/>
    </w:rPr>
  </w:style>
  <w:style w:type="paragraph" w:styleId="3">
    <w:name w:val="heading 3"/>
    <w:basedOn w:val="a"/>
    <w:next w:val="a"/>
    <w:link w:val="3Char"/>
    <w:qFormat/>
    <w:rsid w:val="00DA02B9"/>
    <w:pPr>
      <w:keepNext/>
      <w:keepLines/>
      <w:ind w:firstLineChars="200" w:firstLine="440"/>
      <w:outlineLvl w:val="2"/>
    </w:pPr>
    <w:rPr>
      <w:rFonts w:ascii="Times New Roman" w:eastAsia="仿宋_GB2312" w:hAnsi="Times New Roman"/>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unhideWhenUsed/>
    <w:qFormat/>
    <w:rsid w:val="00DA02B9"/>
    <w:pPr>
      <w:ind w:left="1260"/>
      <w:jc w:val="left"/>
    </w:pPr>
    <w:rPr>
      <w:rFonts w:cs="Calibri"/>
      <w:sz w:val="18"/>
      <w:szCs w:val="18"/>
    </w:rPr>
  </w:style>
  <w:style w:type="paragraph" w:styleId="a3">
    <w:name w:val="Document Map"/>
    <w:basedOn w:val="a"/>
    <w:link w:val="Char2"/>
    <w:uiPriority w:val="99"/>
    <w:unhideWhenUsed/>
    <w:qFormat/>
    <w:rsid w:val="00DA02B9"/>
    <w:rPr>
      <w:rFonts w:ascii="宋体"/>
      <w:sz w:val="18"/>
      <w:szCs w:val="18"/>
    </w:rPr>
  </w:style>
  <w:style w:type="paragraph" w:styleId="a4">
    <w:name w:val="annotation text"/>
    <w:basedOn w:val="a"/>
    <w:link w:val="Char"/>
    <w:qFormat/>
    <w:rsid w:val="00DA02B9"/>
    <w:pPr>
      <w:jc w:val="left"/>
    </w:pPr>
  </w:style>
  <w:style w:type="paragraph" w:styleId="5">
    <w:name w:val="toc 5"/>
    <w:basedOn w:val="a"/>
    <w:next w:val="a"/>
    <w:uiPriority w:val="39"/>
    <w:unhideWhenUsed/>
    <w:qFormat/>
    <w:rsid w:val="00DA02B9"/>
    <w:pPr>
      <w:ind w:left="840"/>
      <w:jc w:val="left"/>
    </w:pPr>
    <w:rPr>
      <w:rFonts w:cs="Calibri"/>
      <w:sz w:val="18"/>
      <w:szCs w:val="18"/>
    </w:rPr>
  </w:style>
  <w:style w:type="paragraph" w:styleId="30">
    <w:name w:val="toc 3"/>
    <w:basedOn w:val="a"/>
    <w:next w:val="a"/>
    <w:uiPriority w:val="39"/>
    <w:qFormat/>
    <w:rsid w:val="00DA02B9"/>
    <w:pPr>
      <w:ind w:left="420"/>
      <w:jc w:val="left"/>
    </w:pPr>
    <w:rPr>
      <w:rFonts w:eastAsia="仿宋_GB2312" w:cs="Calibri"/>
      <w:iCs/>
      <w:sz w:val="20"/>
      <w:szCs w:val="20"/>
    </w:rPr>
  </w:style>
  <w:style w:type="paragraph" w:styleId="8">
    <w:name w:val="toc 8"/>
    <w:basedOn w:val="a"/>
    <w:next w:val="a"/>
    <w:uiPriority w:val="39"/>
    <w:unhideWhenUsed/>
    <w:qFormat/>
    <w:rsid w:val="00DA02B9"/>
    <w:pPr>
      <w:ind w:left="1470"/>
      <w:jc w:val="left"/>
    </w:pPr>
    <w:rPr>
      <w:rFonts w:cs="Calibri"/>
      <w:sz w:val="18"/>
      <w:szCs w:val="18"/>
    </w:rPr>
  </w:style>
  <w:style w:type="paragraph" w:styleId="a5">
    <w:name w:val="Balloon Text"/>
    <w:basedOn w:val="a"/>
    <w:link w:val="Char0"/>
    <w:qFormat/>
    <w:rsid w:val="00DA02B9"/>
    <w:rPr>
      <w:rFonts w:ascii="Times New Roman" w:hAnsi="Times New Roman"/>
      <w:kern w:val="0"/>
      <w:sz w:val="18"/>
      <w:szCs w:val="18"/>
    </w:rPr>
  </w:style>
  <w:style w:type="paragraph" w:styleId="a6">
    <w:name w:val="footer"/>
    <w:basedOn w:val="a"/>
    <w:link w:val="Char1"/>
    <w:uiPriority w:val="99"/>
    <w:qFormat/>
    <w:rsid w:val="00DA02B9"/>
    <w:pPr>
      <w:tabs>
        <w:tab w:val="center" w:pos="4153"/>
        <w:tab w:val="right" w:pos="8306"/>
      </w:tabs>
      <w:snapToGrid w:val="0"/>
      <w:jc w:val="left"/>
    </w:pPr>
    <w:rPr>
      <w:rFonts w:ascii="Times New Roman" w:hAnsi="Times New Roman"/>
      <w:kern w:val="0"/>
      <w:sz w:val="18"/>
      <w:szCs w:val="18"/>
    </w:rPr>
  </w:style>
  <w:style w:type="paragraph" w:styleId="a7">
    <w:name w:val="header"/>
    <w:basedOn w:val="a"/>
    <w:link w:val="Char3"/>
    <w:qFormat/>
    <w:rsid w:val="00DA02B9"/>
    <w:pPr>
      <w:pBdr>
        <w:bottom w:val="single" w:sz="6" w:space="1" w:color="auto"/>
      </w:pBdr>
      <w:tabs>
        <w:tab w:val="center" w:pos="4153"/>
        <w:tab w:val="right" w:pos="8306"/>
      </w:tabs>
      <w:snapToGrid w:val="0"/>
      <w:jc w:val="center"/>
    </w:pPr>
    <w:rPr>
      <w:rFonts w:ascii="Times New Roman" w:hAnsi="Times New Roman"/>
      <w:kern w:val="0"/>
      <w:sz w:val="18"/>
      <w:szCs w:val="18"/>
    </w:rPr>
  </w:style>
  <w:style w:type="paragraph" w:styleId="10">
    <w:name w:val="toc 1"/>
    <w:basedOn w:val="a"/>
    <w:next w:val="a"/>
    <w:uiPriority w:val="39"/>
    <w:qFormat/>
    <w:rsid w:val="00DA02B9"/>
    <w:pPr>
      <w:spacing w:before="120" w:after="120"/>
      <w:jc w:val="left"/>
    </w:pPr>
    <w:rPr>
      <w:rFonts w:cs="Calibri"/>
      <w:b/>
      <w:bCs/>
      <w:caps/>
      <w:sz w:val="22"/>
      <w:szCs w:val="20"/>
    </w:rPr>
  </w:style>
  <w:style w:type="paragraph" w:styleId="4">
    <w:name w:val="toc 4"/>
    <w:basedOn w:val="a"/>
    <w:next w:val="a"/>
    <w:uiPriority w:val="39"/>
    <w:unhideWhenUsed/>
    <w:qFormat/>
    <w:rsid w:val="00DA02B9"/>
    <w:pPr>
      <w:ind w:left="630"/>
      <w:jc w:val="left"/>
    </w:pPr>
    <w:rPr>
      <w:rFonts w:cs="Calibri"/>
      <w:sz w:val="18"/>
      <w:szCs w:val="18"/>
    </w:rPr>
  </w:style>
  <w:style w:type="paragraph" w:styleId="a8">
    <w:name w:val="Subtitle"/>
    <w:basedOn w:val="a"/>
    <w:next w:val="a"/>
    <w:link w:val="Char4"/>
    <w:qFormat/>
    <w:rsid w:val="00DA02B9"/>
    <w:pPr>
      <w:widowControl/>
      <w:spacing w:after="200" w:line="276" w:lineRule="auto"/>
      <w:jc w:val="left"/>
    </w:pPr>
    <w:rPr>
      <w:rFonts w:ascii="Cambria" w:hAnsi="Cambria"/>
      <w:i/>
      <w:iCs/>
      <w:color w:val="4F81BD"/>
      <w:spacing w:val="15"/>
      <w:kern w:val="0"/>
      <w:sz w:val="24"/>
      <w:szCs w:val="24"/>
    </w:rPr>
  </w:style>
  <w:style w:type="paragraph" w:styleId="a9">
    <w:name w:val="footnote text"/>
    <w:basedOn w:val="a"/>
    <w:link w:val="Char5"/>
    <w:qFormat/>
    <w:rsid w:val="00DA02B9"/>
    <w:pPr>
      <w:snapToGrid w:val="0"/>
      <w:jc w:val="left"/>
    </w:pPr>
    <w:rPr>
      <w:rFonts w:ascii="Times New Roman" w:hAnsi="Times New Roman"/>
      <w:kern w:val="0"/>
      <w:sz w:val="18"/>
      <w:szCs w:val="18"/>
    </w:rPr>
  </w:style>
  <w:style w:type="paragraph" w:styleId="6">
    <w:name w:val="toc 6"/>
    <w:basedOn w:val="a"/>
    <w:next w:val="a"/>
    <w:uiPriority w:val="39"/>
    <w:unhideWhenUsed/>
    <w:qFormat/>
    <w:rsid w:val="00DA02B9"/>
    <w:pPr>
      <w:ind w:left="1050"/>
      <w:jc w:val="left"/>
    </w:pPr>
    <w:rPr>
      <w:rFonts w:cs="Calibri"/>
      <w:sz w:val="18"/>
      <w:szCs w:val="18"/>
    </w:rPr>
  </w:style>
  <w:style w:type="paragraph" w:styleId="20">
    <w:name w:val="toc 2"/>
    <w:basedOn w:val="a"/>
    <w:next w:val="a"/>
    <w:uiPriority w:val="39"/>
    <w:qFormat/>
    <w:rsid w:val="00DA02B9"/>
    <w:pPr>
      <w:ind w:left="210"/>
      <w:jc w:val="left"/>
    </w:pPr>
    <w:rPr>
      <w:rFonts w:cs="Calibri"/>
      <w:smallCaps/>
      <w:sz w:val="22"/>
      <w:szCs w:val="20"/>
    </w:rPr>
  </w:style>
  <w:style w:type="paragraph" w:styleId="9">
    <w:name w:val="toc 9"/>
    <w:basedOn w:val="a"/>
    <w:next w:val="a"/>
    <w:uiPriority w:val="39"/>
    <w:unhideWhenUsed/>
    <w:qFormat/>
    <w:rsid w:val="00DA02B9"/>
    <w:pPr>
      <w:ind w:left="1680"/>
      <w:jc w:val="left"/>
    </w:pPr>
    <w:rPr>
      <w:rFonts w:cs="Calibri"/>
      <w:sz w:val="18"/>
      <w:szCs w:val="18"/>
    </w:rPr>
  </w:style>
  <w:style w:type="paragraph" w:styleId="HTML">
    <w:name w:val="HTML Preformatted"/>
    <w:basedOn w:val="a"/>
    <w:link w:val="HTMLChar"/>
    <w:uiPriority w:val="99"/>
    <w:unhideWhenUsed/>
    <w:qFormat/>
    <w:rsid w:val="00DA02B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a">
    <w:name w:val="Normal (Web)"/>
    <w:basedOn w:val="a"/>
    <w:uiPriority w:val="99"/>
    <w:unhideWhenUsed/>
    <w:qFormat/>
    <w:rsid w:val="00DA02B9"/>
    <w:pPr>
      <w:widowControl/>
      <w:spacing w:before="100" w:beforeAutospacing="1" w:after="100" w:afterAutospacing="1"/>
      <w:jc w:val="left"/>
    </w:pPr>
    <w:rPr>
      <w:rFonts w:ascii="宋体" w:hAnsi="宋体" w:cs="宋体"/>
      <w:kern w:val="0"/>
      <w:sz w:val="24"/>
      <w:szCs w:val="24"/>
    </w:rPr>
  </w:style>
  <w:style w:type="paragraph" w:styleId="ab">
    <w:name w:val="Title"/>
    <w:basedOn w:val="a"/>
    <w:next w:val="a"/>
    <w:link w:val="Char6"/>
    <w:qFormat/>
    <w:rsid w:val="00DA02B9"/>
    <w:pPr>
      <w:widowControl/>
      <w:pBdr>
        <w:bottom w:val="single" w:sz="8" w:space="4" w:color="4F81BD"/>
      </w:pBdr>
      <w:spacing w:after="300"/>
      <w:jc w:val="left"/>
    </w:pPr>
    <w:rPr>
      <w:rFonts w:ascii="Cambria" w:hAnsi="Cambria"/>
      <w:color w:val="17365D"/>
      <w:spacing w:val="5"/>
      <w:kern w:val="28"/>
      <w:sz w:val="52"/>
      <w:szCs w:val="52"/>
    </w:rPr>
  </w:style>
  <w:style w:type="character" w:styleId="ac">
    <w:name w:val="Hyperlink"/>
    <w:uiPriority w:val="99"/>
    <w:qFormat/>
    <w:rsid w:val="00DA02B9"/>
    <w:rPr>
      <w:color w:val="0000FF"/>
      <w:u w:val="single"/>
    </w:rPr>
  </w:style>
  <w:style w:type="character" w:styleId="ad">
    <w:name w:val="footnote reference"/>
    <w:qFormat/>
    <w:rsid w:val="00DA02B9"/>
    <w:rPr>
      <w:vertAlign w:val="superscript"/>
    </w:rPr>
  </w:style>
  <w:style w:type="paragraph" w:customStyle="1" w:styleId="11">
    <w:name w:val="无间隔1"/>
    <w:link w:val="Char7"/>
    <w:qFormat/>
    <w:rsid w:val="00DA02B9"/>
    <w:rPr>
      <w:sz w:val="22"/>
    </w:rPr>
  </w:style>
  <w:style w:type="paragraph" w:customStyle="1" w:styleId="ae">
    <w:name w:val="专栏标题"/>
    <w:basedOn w:val="a"/>
    <w:link w:val="Char8"/>
    <w:qFormat/>
    <w:rsid w:val="00DA02B9"/>
    <w:pPr>
      <w:snapToGrid w:val="0"/>
      <w:jc w:val="center"/>
    </w:pPr>
    <w:rPr>
      <w:rFonts w:ascii="Times New Roman" w:eastAsia="黑体" w:hAnsi="Times New Roman"/>
      <w:kern w:val="0"/>
      <w:sz w:val="20"/>
      <w:szCs w:val="20"/>
    </w:rPr>
  </w:style>
  <w:style w:type="paragraph" w:customStyle="1" w:styleId="12">
    <w:name w:val="批注主题1"/>
    <w:basedOn w:val="a4"/>
    <w:next w:val="a4"/>
    <w:link w:val="Char9"/>
    <w:qFormat/>
    <w:rsid w:val="00DA02B9"/>
    <w:rPr>
      <w:rFonts w:ascii="Times New Roman" w:hAnsi="Times New Roman"/>
      <w:b/>
      <w:bCs/>
      <w:kern w:val="0"/>
      <w:sz w:val="20"/>
      <w:szCs w:val="20"/>
    </w:rPr>
  </w:style>
  <w:style w:type="paragraph" w:customStyle="1" w:styleId="13">
    <w:name w:val="文档结构图1"/>
    <w:basedOn w:val="a"/>
    <w:link w:val="Char10"/>
    <w:qFormat/>
    <w:rsid w:val="00DA02B9"/>
    <w:rPr>
      <w:rFonts w:ascii="宋体"/>
      <w:sz w:val="18"/>
      <w:szCs w:val="18"/>
    </w:rPr>
  </w:style>
  <w:style w:type="paragraph" w:customStyle="1" w:styleId="110">
    <w:name w:val="文档结构图11"/>
    <w:basedOn w:val="a"/>
    <w:link w:val="Chara"/>
    <w:qFormat/>
    <w:rsid w:val="00DA02B9"/>
    <w:rPr>
      <w:rFonts w:ascii="宋体" w:hAnsi="Times New Roman"/>
      <w:kern w:val="0"/>
      <w:sz w:val="18"/>
      <w:szCs w:val="18"/>
    </w:rPr>
  </w:style>
  <w:style w:type="paragraph" w:customStyle="1" w:styleId="14">
    <w:name w:val="列出段落1"/>
    <w:basedOn w:val="a"/>
    <w:qFormat/>
    <w:rsid w:val="00DA02B9"/>
    <w:pPr>
      <w:ind w:firstLineChars="200" w:firstLine="420"/>
    </w:pPr>
  </w:style>
  <w:style w:type="paragraph" w:customStyle="1" w:styleId="15">
    <w:name w:val="普通(网站)1"/>
    <w:basedOn w:val="a"/>
    <w:qFormat/>
    <w:rsid w:val="00DA02B9"/>
    <w:pPr>
      <w:widowControl/>
      <w:spacing w:before="100" w:beforeAutospacing="1" w:after="100" w:afterAutospacing="1"/>
      <w:jc w:val="left"/>
    </w:pPr>
    <w:rPr>
      <w:rFonts w:ascii="宋体" w:hAnsi="宋体" w:cs="宋体"/>
      <w:kern w:val="0"/>
      <w:sz w:val="24"/>
      <w:szCs w:val="24"/>
    </w:rPr>
  </w:style>
  <w:style w:type="paragraph" w:customStyle="1" w:styleId="af">
    <w:name w:val="专栏正文"/>
    <w:basedOn w:val="a"/>
    <w:qFormat/>
    <w:rsid w:val="00DA02B9"/>
    <w:pPr>
      <w:snapToGrid w:val="0"/>
      <w:ind w:firstLineChars="200" w:firstLine="430"/>
    </w:pPr>
    <w:rPr>
      <w:rFonts w:ascii="仿宋_GB2312" w:eastAsia="仿宋_GB2312" w:hAnsi="仿宋_GB2312"/>
      <w:sz w:val="24"/>
      <w:szCs w:val="20"/>
    </w:rPr>
  </w:style>
  <w:style w:type="paragraph" w:customStyle="1" w:styleId="af0">
    <w:name w:val="规划正文"/>
    <w:qFormat/>
    <w:rsid w:val="00DA02B9"/>
    <w:pPr>
      <w:ind w:firstLineChars="200" w:firstLine="416"/>
    </w:pPr>
    <w:rPr>
      <w:rFonts w:ascii="仿宋_GB2312" w:eastAsia="仿宋_GB2312" w:hAnsi="仿宋_GB2312"/>
      <w:sz w:val="32"/>
    </w:rPr>
  </w:style>
  <w:style w:type="paragraph" w:customStyle="1" w:styleId="TOC1">
    <w:name w:val="TOC 标题1"/>
    <w:basedOn w:val="1"/>
    <w:next w:val="a"/>
    <w:qFormat/>
    <w:rsid w:val="00DA02B9"/>
    <w:pPr>
      <w:widowControl/>
      <w:spacing w:before="480" w:after="0" w:line="276" w:lineRule="auto"/>
      <w:jc w:val="left"/>
      <w:outlineLvl w:val="9"/>
    </w:pPr>
    <w:rPr>
      <w:rFonts w:ascii="Cambria" w:hAnsi="Cambria"/>
      <w:color w:val="365F91"/>
      <w:kern w:val="0"/>
      <w:sz w:val="28"/>
      <w:szCs w:val="28"/>
    </w:rPr>
  </w:style>
  <w:style w:type="paragraph" w:customStyle="1" w:styleId="21">
    <w:name w:val="列出段落2"/>
    <w:basedOn w:val="a"/>
    <w:qFormat/>
    <w:rsid w:val="00DA02B9"/>
    <w:pPr>
      <w:ind w:firstLineChars="200" w:firstLine="420"/>
    </w:pPr>
  </w:style>
  <w:style w:type="paragraph" w:customStyle="1" w:styleId="111">
    <w:name w:val="普通(网站)11"/>
    <w:basedOn w:val="a"/>
    <w:qFormat/>
    <w:rsid w:val="00DA02B9"/>
    <w:pPr>
      <w:widowControl/>
      <w:spacing w:before="100" w:beforeAutospacing="1" w:after="100" w:afterAutospacing="1"/>
      <w:jc w:val="left"/>
    </w:pPr>
    <w:rPr>
      <w:rFonts w:ascii="宋体" w:hAnsi="宋体" w:cs="宋体"/>
      <w:kern w:val="0"/>
      <w:sz w:val="24"/>
      <w:szCs w:val="24"/>
    </w:rPr>
  </w:style>
  <w:style w:type="paragraph" w:customStyle="1" w:styleId="16">
    <w:name w:val="修订1"/>
    <w:hidden/>
    <w:uiPriority w:val="99"/>
    <w:semiHidden/>
    <w:qFormat/>
    <w:rsid w:val="00DA02B9"/>
    <w:rPr>
      <w:rFonts w:ascii="Calibri" w:hAnsi="Calibri"/>
      <w:kern w:val="2"/>
      <w:sz w:val="21"/>
      <w:szCs w:val="22"/>
    </w:rPr>
  </w:style>
  <w:style w:type="paragraph" w:customStyle="1" w:styleId="TOC2">
    <w:name w:val="TOC 标题2"/>
    <w:basedOn w:val="1"/>
    <w:next w:val="a"/>
    <w:uiPriority w:val="39"/>
    <w:unhideWhenUsed/>
    <w:qFormat/>
    <w:rsid w:val="00DA02B9"/>
    <w:pPr>
      <w:widowControl/>
      <w:spacing w:before="480" w:after="0" w:line="276" w:lineRule="auto"/>
      <w:jc w:val="left"/>
      <w:outlineLvl w:val="9"/>
    </w:pPr>
    <w:rPr>
      <w:rFonts w:ascii="Cambria" w:hAnsi="Cambria"/>
      <w:color w:val="365F91"/>
      <w:kern w:val="0"/>
      <w:sz w:val="28"/>
      <w:szCs w:val="28"/>
    </w:rPr>
  </w:style>
  <w:style w:type="paragraph" w:customStyle="1" w:styleId="31">
    <w:name w:val="列出段落3"/>
    <w:basedOn w:val="a"/>
    <w:uiPriority w:val="34"/>
    <w:qFormat/>
    <w:rsid w:val="00DA02B9"/>
    <w:pPr>
      <w:ind w:firstLineChars="200" w:firstLine="420"/>
    </w:pPr>
  </w:style>
  <w:style w:type="paragraph" w:customStyle="1" w:styleId="310">
    <w:name w:val="列出段落31"/>
    <w:basedOn w:val="a"/>
    <w:uiPriority w:val="34"/>
    <w:qFormat/>
    <w:rsid w:val="00DA02B9"/>
    <w:pPr>
      <w:ind w:firstLineChars="200" w:firstLine="420"/>
    </w:pPr>
  </w:style>
  <w:style w:type="character" w:customStyle="1" w:styleId="Char7">
    <w:name w:val="无间隔 Char"/>
    <w:link w:val="11"/>
    <w:qFormat/>
    <w:rsid w:val="00DA02B9"/>
    <w:rPr>
      <w:sz w:val="22"/>
      <w:lang w:val="en-US" w:eastAsia="zh-CN" w:bidi="ar-SA"/>
    </w:rPr>
  </w:style>
  <w:style w:type="character" w:customStyle="1" w:styleId="Char0">
    <w:name w:val="批注框文本 Char"/>
    <w:link w:val="a5"/>
    <w:qFormat/>
    <w:rsid w:val="00DA02B9"/>
    <w:rPr>
      <w:sz w:val="18"/>
      <w:szCs w:val="18"/>
    </w:rPr>
  </w:style>
  <w:style w:type="character" w:customStyle="1" w:styleId="Char3">
    <w:name w:val="页眉 Char"/>
    <w:link w:val="a7"/>
    <w:qFormat/>
    <w:rsid w:val="00DA02B9"/>
    <w:rPr>
      <w:sz w:val="18"/>
      <w:szCs w:val="18"/>
    </w:rPr>
  </w:style>
  <w:style w:type="character" w:customStyle="1" w:styleId="Char5">
    <w:name w:val="脚注文本 Char"/>
    <w:link w:val="a9"/>
    <w:qFormat/>
    <w:rsid w:val="00DA02B9"/>
    <w:rPr>
      <w:sz w:val="18"/>
      <w:szCs w:val="18"/>
    </w:rPr>
  </w:style>
  <w:style w:type="character" w:customStyle="1" w:styleId="apple-converted-space">
    <w:name w:val="apple-converted-space"/>
    <w:basedOn w:val="a0"/>
    <w:qFormat/>
    <w:rsid w:val="00DA02B9"/>
  </w:style>
  <w:style w:type="character" w:customStyle="1" w:styleId="Char8">
    <w:name w:val="专栏标题 Char"/>
    <w:link w:val="ae"/>
    <w:qFormat/>
    <w:rsid w:val="00DA02B9"/>
    <w:rPr>
      <w:rFonts w:ascii="Times New Roman" w:eastAsia="黑体" w:hAnsi="Times New Roman" w:cs="Times New Roman"/>
    </w:rPr>
  </w:style>
  <w:style w:type="character" w:customStyle="1" w:styleId="3Char">
    <w:name w:val="标题 3 Char"/>
    <w:link w:val="3"/>
    <w:qFormat/>
    <w:rsid w:val="00DA02B9"/>
    <w:rPr>
      <w:rFonts w:ascii="Times New Roman" w:eastAsia="仿宋_GB2312" w:hAnsi="Times New Roman"/>
      <w:b/>
      <w:bCs/>
      <w:sz w:val="32"/>
      <w:szCs w:val="32"/>
    </w:rPr>
  </w:style>
  <w:style w:type="character" w:customStyle="1" w:styleId="Char9">
    <w:name w:val="批注主题 Char"/>
    <w:link w:val="12"/>
    <w:qFormat/>
    <w:rsid w:val="00DA02B9"/>
    <w:rPr>
      <w:b/>
      <w:bCs/>
    </w:rPr>
  </w:style>
  <w:style w:type="character" w:customStyle="1" w:styleId="Char10">
    <w:name w:val="文档结构图 Char1"/>
    <w:link w:val="13"/>
    <w:qFormat/>
    <w:rsid w:val="00DA02B9"/>
    <w:rPr>
      <w:rFonts w:ascii="宋体" w:hAnsi="Calibri"/>
      <w:kern w:val="2"/>
      <w:sz w:val="18"/>
      <w:szCs w:val="18"/>
    </w:rPr>
  </w:style>
  <w:style w:type="character" w:customStyle="1" w:styleId="Chara">
    <w:name w:val="文档结构图 Char"/>
    <w:link w:val="110"/>
    <w:qFormat/>
    <w:rsid w:val="00DA02B9"/>
    <w:rPr>
      <w:rFonts w:ascii="宋体" w:eastAsia="宋体"/>
      <w:sz w:val="18"/>
      <w:szCs w:val="18"/>
    </w:rPr>
  </w:style>
  <w:style w:type="character" w:customStyle="1" w:styleId="Char4">
    <w:name w:val="副标题 Char"/>
    <w:link w:val="a8"/>
    <w:qFormat/>
    <w:rsid w:val="00DA02B9"/>
    <w:rPr>
      <w:rFonts w:ascii="Cambria" w:eastAsia="宋体" w:hAnsi="Cambria"/>
      <w:i/>
      <w:iCs/>
      <w:color w:val="4F81BD"/>
      <w:spacing w:val="15"/>
      <w:kern w:val="0"/>
      <w:sz w:val="24"/>
      <w:szCs w:val="24"/>
    </w:rPr>
  </w:style>
  <w:style w:type="character" w:customStyle="1" w:styleId="1Char">
    <w:name w:val="标题 1 Char"/>
    <w:link w:val="1"/>
    <w:qFormat/>
    <w:rsid w:val="00DA02B9"/>
    <w:rPr>
      <w:b/>
      <w:bCs/>
      <w:kern w:val="44"/>
      <w:sz w:val="44"/>
      <w:szCs w:val="44"/>
    </w:rPr>
  </w:style>
  <w:style w:type="character" w:customStyle="1" w:styleId="Char1">
    <w:name w:val="页脚 Char"/>
    <w:link w:val="a6"/>
    <w:uiPriority w:val="99"/>
    <w:qFormat/>
    <w:rsid w:val="00DA02B9"/>
    <w:rPr>
      <w:sz w:val="18"/>
      <w:szCs w:val="18"/>
    </w:rPr>
  </w:style>
  <w:style w:type="character" w:customStyle="1" w:styleId="2Char">
    <w:name w:val="标题 2 Char"/>
    <w:link w:val="2"/>
    <w:qFormat/>
    <w:rsid w:val="00DA02B9"/>
    <w:rPr>
      <w:rFonts w:ascii="Cambria" w:eastAsia="宋体" w:hAnsi="Cambria"/>
      <w:b/>
      <w:bCs/>
      <w:sz w:val="32"/>
      <w:szCs w:val="32"/>
    </w:rPr>
  </w:style>
  <w:style w:type="character" w:customStyle="1" w:styleId="Char">
    <w:name w:val="批注文字 Char"/>
    <w:basedOn w:val="a0"/>
    <w:link w:val="a4"/>
    <w:qFormat/>
    <w:rsid w:val="00DA02B9"/>
  </w:style>
  <w:style w:type="character" w:customStyle="1" w:styleId="Char6">
    <w:name w:val="标题 Char"/>
    <w:link w:val="ab"/>
    <w:qFormat/>
    <w:rsid w:val="00DA02B9"/>
    <w:rPr>
      <w:rFonts w:ascii="Cambria" w:eastAsia="宋体" w:hAnsi="Cambria"/>
      <w:color w:val="17365D"/>
      <w:spacing w:val="5"/>
      <w:kern w:val="28"/>
      <w:sz w:val="52"/>
      <w:szCs w:val="52"/>
    </w:rPr>
  </w:style>
  <w:style w:type="character" w:customStyle="1" w:styleId="17">
    <w:name w:val="批注引用1"/>
    <w:qFormat/>
    <w:rsid w:val="00DA02B9"/>
    <w:rPr>
      <w:sz w:val="21"/>
      <w:szCs w:val="21"/>
    </w:rPr>
  </w:style>
  <w:style w:type="character" w:customStyle="1" w:styleId="msoins0">
    <w:name w:val="msoins"/>
    <w:basedOn w:val="a0"/>
    <w:qFormat/>
    <w:rsid w:val="00DA02B9"/>
  </w:style>
  <w:style w:type="character" w:customStyle="1" w:styleId="Char2">
    <w:name w:val="文档结构图 Char2"/>
    <w:link w:val="a3"/>
    <w:uiPriority w:val="99"/>
    <w:semiHidden/>
    <w:qFormat/>
    <w:rsid w:val="00DA02B9"/>
    <w:rPr>
      <w:rFonts w:ascii="宋体" w:hAnsi="Calibri"/>
      <w:kern w:val="2"/>
      <w:sz w:val="18"/>
      <w:szCs w:val="18"/>
    </w:rPr>
  </w:style>
  <w:style w:type="character" w:customStyle="1" w:styleId="view-tip-panel">
    <w:name w:val="view-tip-panel"/>
    <w:basedOn w:val="a0"/>
    <w:qFormat/>
    <w:rsid w:val="00DA02B9"/>
  </w:style>
  <w:style w:type="character" w:customStyle="1" w:styleId="HTMLChar">
    <w:name w:val="HTML 预设格式 Char"/>
    <w:basedOn w:val="a0"/>
    <w:link w:val="HTML"/>
    <w:uiPriority w:val="99"/>
    <w:semiHidden/>
    <w:qFormat/>
    <w:rsid w:val="00DA02B9"/>
    <w:rPr>
      <w:rFonts w:ascii="宋体" w:hAnsi="宋体" w:cs="宋体"/>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baike.baidu.com/view/190966.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2810</Words>
  <Characters>16022</Characters>
  <Application>Microsoft Office Word</Application>
  <DocSecurity>0</DocSecurity>
  <Lines>133</Lines>
  <Paragraphs>37</Paragraphs>
  <ScaleCrop>false</ScaleCrop>
  <Company/>
  <LinksUpToDate>false</LinksUpToDate>
  <CharactersWithSpaces>18795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信息通信业十三五规划</dc:title>
  <dc:creator>UserUser</dc:creator>
  <cp:lastModifiedBy>Administrator</cp:lastModifiedBy>
  <cp:revision>2</cp:revision>
  <cp:lastPrinted>2016-05-30T01:13:00Z</cp:lastPrinted>
  <dcterms:created xsi:type="dcterms:W3CDTF">2018-11-30T01:48:00Z</dcterms:created>
  <dcterms:modified xsi:type="dcterms:W3CDTF">2018-11-30T01:48:00Z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2052-9.1.0.4798</vt:lpwstr>
  </property>
</Properties>
</file>