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16" w:rsidRDefault="008B411C">
      <w:pPr>
        <w:adjustRightInd w:val="0"/>
        <w:snapToGrid w:val="0"/>
        <w:spacing w:line="590" w:lineRule="exact"/>
        <w:rPr>
          <w:rFonts w:ascii="方正黑体_GBK" w:eastAsia="方正黑体_GBK"/>
          <w:bCs/>
          <w:snapToGrid w:val="0"/>
          <w:sz w:val="32"/>
          <w:szCs w:val="32"/>
          <w:lang w:eastAsia="ar-SA"/>
        </w:rPr>
      </w:pPr>
      <w:r>
        <w:rPr>
          <w:rFonts w:ascii="方正黑体_GBK" w:eastAsia="方正黑体_GBK" w:hint="eastAsia"/>
          <w:bCs/>
          <w:snapToGrid w:val="0"/>
          <w:sz w:val="32"/>
          <w:szCs w:val="32"/>
        </w:rPr>
        <w:t>附件</w:t>
      </w:r>
    </w:p>
    <w:p w:rsidR="00375F16" w:rsidRDefault="00375F16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375F16" w:rsidRDefault="008B411C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napToGrid w:val="0"/>
          <w:sz w:val="44"/>
          <w:szCs w:val="44"/>
        </w:rPr>
        <w:t>广西先进装备制造城（玉林）建设规划项目表</w:t>
      </w:r>
    </w:p>
    <w:bookmarkEnd w:id="0"/>
    <w:p w:rsidR="00375F16" w:rsidRDefault="00375F16">
      <w:pPr>
        <w:adjustRightInd w:val="0"/>
        <w:snapToGrid w:val="0"/>
        <w:spacing w:line="57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</w:p>
    <w:p w:rsidR="00375F16" w:rsidRDefault="008B411C" w:rsidP="003222BC">
      <w:pPr>
        <w:spacing w:afterLines="20" w:line="400" w:lineRule="exact"/>
        <w:jc w:val="right"/>
        <w:rPr>
          <w:rFonts w:ascii="方正书宋_GBK" w:eastAsia="方正书宋_GBK" w:hAnsi="黑体" w:cs="楷体_GB2312"/>
          <w:bCs/>
          <w:szCs w:val="32"/>
          <w:lang w:eastAsia="ar-SA"/>
        </w:rPr>
      </w:pPr>
      <w:r>
        <w:rPr>
          <w:rFonts w:ascii="方正书宋_GBK" w:eastAsia="方正书宋_GBK" w:hAnsi="宋体" w:cs="宋体" w:hint="eastAsia"/>
          <w:kern w:val="0"/>
          <w:sz w:val="28"/>
          <w:szCs w:val="28"/>
        </w:rPr>
        <w:t>单位：万元</w:t>
      </w:r>
    </w:p>
    <w:tbl>
      <w:tblPr>
        <w:tblW w:w="13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5279"/>
        <w:gridCol w:w="1548"/>
        <w:gridCol w:w="1805"/>
        <w:gridCol w:w="3751"/>
      </w:tblGrid>
      <w:tr w:rsidR="00375F16">
        <w:trPr>
          <w:trHeight w:val="482"/>
          <w:tblHeader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ascii="方正黑体_GBK" w:eastAsia="方正黑体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方正黑体_GBK" w:eastAsia="方正黑体_GBK" w:hint="eastAsia"/>
                <w:bCs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ascii="方正黑体_GBK" w:eastAsia="方正黑体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方正黑体_GBK" w:eastAsia="方正黑体_GBK" w:hint="eastAsia"/>
                <w:bCs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ascii="方正黑体_GBK" w:eastAsia="方正黑体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方正黑体_GBK" w:eastAsia="方正黑体_GBK" w:hint="eastAsia"/>
                <w:bCs/>
                <w:snapToGrid w:val="0"/>
                <w:sz w:val="24"/>
                <w:szCs w:val="24"/>
              </w:rPr>
              <w:t>项目总投资（万元）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ascii="方正黑体_GBK" w:eastAsia="方正黑体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方正黑体_GBK" w:eastAsia="方正黑体_GBK" w:hint="eastAsia"/>
                <w:bCs/>
                <w:snapToGrid w:val="0"/>
                <w:sz w:val="24"/>
                <w:szCs w:val="24"/>
              </w:rPr>
              <w:t>预计达到产值（万元）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ascii="方正黑体_GBK" w:eastAsia="方正黑体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方正黑体_GBK" w:eastAsia="方正黑体_GBK" w:hint="eastAsia"/>
                <w:bCs/>
                <w:snapToGrid w:val="0"/>
                <w:sz w:val="24"/>
                <w:szCs w:val="24"/>
              </w:rPr>
              <w:t>企业名称或招商对象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总计（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95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个）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2,616,923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10,950,800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一</w:t>
            </w:r>
          </w:p>
        </w:tc>
        <w:tc>
          <w:tcPr>
            <w:tcW w:w="1238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内燃机板块（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8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个）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年产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55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万台国六、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T4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发动机研发及产能建设项目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250,572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3,205,400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广西玉柴机器股份有限公司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年产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1.5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万台大船电产能扩充项目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79,028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1,064,900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广西玉柴机器股份有限公司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发动机高端零部件生产项目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YCDV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系列发动机开发项目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15,230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广西玉柴动力机械有限公司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玉柴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MTU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动力项目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广西玉柴安特优动力有限公司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 xml:space="preserve"> 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大型工程结构件项目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高效节能环保柴油机后处理系统生产建设项目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13,500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459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模具工业项目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lastRenderedPageBreak/>
              <w:t>二</w:t>
            </w:r>
          </w:p>
        </w:tc>
        <w:tc>
          <w:tcPr>
            <w:tcW w:w="1238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新能源汽车板块（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56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个）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年产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5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万台玉柴新能源特种车建设项目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138,076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540,000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新能源汽车电子控制单元项目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260,000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新能源燃料电池项目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64,484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新能源锂电池项目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37,000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新一代混合动力系统项目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52,553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广西玉柴机器股份有限公司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集成电桥项目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49,369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集成发电式发动机增程器项目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年产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20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万套汽车零部件项目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90,000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汽车散热加强型制动鼓生产项目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76,000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128,000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玉林市远航铸造有限公司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新能源汽车制动系统项目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143,000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汽车安全带生产项目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安全气囊项目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新能源转动系统项目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纯电动汽车充电器项目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新能源汽车充电桩项目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纯电动汽车空调压缩机项目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汽车弹簧生产项目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汽车内外饰项目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19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汽车音响生产项目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广西玉柴新能源汽车有限公司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发动机链条项目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汽车变速箱齿轮项目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汽车制动钳、制动盘项目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汽车换挡系统项目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汽车发电机零部件项目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发动机配套系统项目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37,000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发动机机油泵零部件生产项目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高效车用电动机项目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制动器项目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29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汽车后桥零部件项目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18,000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汽车排气系统零部件项目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18,000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散热器生产项目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汽车精密冲压零部件项目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18,000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汽车灯具配套项目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汽车转向零部件项目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汽车密封件、橡胶制品项目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18,000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汽车仪表制造项目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汽车电器项目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汽车玻璃及天窗项目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39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新能源电动真空泵（刹车）项目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40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汽车标准件配套项目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汽车大中型注塑件项目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11,000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汽车同步器齿环项目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9,000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车载信息系统项目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8,500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排气系统总成项目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9,000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汽车座椅项目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新能源汽车轴承项目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18,000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汽车专用传感器项目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汽车空调过滤器项目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49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高效锂电池控制系统项目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16,000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新能源汽车专用线缆制造项目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电动汽车充电桩专用控制系统项目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电动汽车云互联项目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汽车安防系统项目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16,000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汽车电助力系统项目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倒车雷达生产项目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表面处理项目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66,000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三</w:t>
            </w:r>
          </w:p>
        </w:tc>
        <w:tc>
          <w:tcPr>
            <w:tcW w:w="1238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智能制造板块（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20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个）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高速大功率电主轴项目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25,471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中国航天集团公司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502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研究所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玉柴大数据制造系统项目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5,955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广西玉柴机器股份有限公司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神经康复机器人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清华紫荆创新研究院有限公司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玉柴智能化研发、生产、服务管理项目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4,700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广西玉柴机器股份有限公司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新一代轻型机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Y30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智能新线项目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10,963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广西玉柴机器股份有限公司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新一代重机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K09/K11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智能新线项目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30,463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广西玉柴机器股份有限公司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UST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车用智能传感器项目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玉林市成鑫机械有限责任公司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 xml:space="preserve"> 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高端数据机床项目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智能化、自动化焊接系统集成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机体智能铸造线项目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9,884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缸盖智能铸造线项目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6,475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13,000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自动化设备生产及服务项目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4,700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智能装备项目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3D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打印及打印耗材生产项目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智能停车设备生产项目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车体专用焊接机器人项目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17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工业机器人项目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基于机器人的冲压、焊接自动化生产线项目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25,000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19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智能制造成套装备研制开发项目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物联网器件产业项目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招商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四</w:t>
            </w:r>
          </w:p>
        </w:tc>
        <w:tc>
          <w:tcPr>
            <w:tcW w:w="1238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left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军民融合板块（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6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个）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4F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匹配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4X4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超轻型高机动突击车平台项目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V6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匹配各型号轻型高机动平台及特种车项目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pacing w:val="-4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pacing w:val="-4"/>
                <w:sz w:val="24"/>
                <w:szCs w:val="24"/>
              </w:rPr>
              <w:t>6MK/6K</w:t>
            </w:r>
            <w:r>
              <w:rPr>
                <w:rFonts w:eastAsia="方正书宋_GBK" w:hint="eastAsia"/>
                <w:snapToGrid w:val="0"/>
                <w:spacing w:val="-4"/>
                <w:sz w:val="24"/>
                <w:szCs w:val="24"/>
              </w:rPr>
              <w:t>匹配重型特种车和重型高机动平台车项目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6T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匹配中大型履带支援和保障装甲车项目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18,000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12VT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匹配中重型特种车项目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35,000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军品平台混合动力总成项目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40,000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五</w:t>
            </w:r>
          </w:p>
        </w:tc>
        <w:tc>
          <w:tcPr>
            <w:tcW w:w="1238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金融商贸服务板块（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3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个）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玉柴融资租赁公司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100,000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1,000,000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广西玉柴融资租赁有限公司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玉柴桂东南（国际）卡车产业服务中心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53,800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广西玉柴物流集团有限公司</w:t>
            </w:r>
          </w:p>
        </w:tc>
      </w:tr>
      <w:tr w:rsidR="00375F16">
        <w:trPr>
          <w:trHeight w:val="510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玉柴南宁物流产业园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93,700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500,000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广西玉柴物流集团有限公司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lastRenderedPageBreak/>
              <w:t>六</w:t>
            </w:r>
          </w:p>
        </w:tc>
        <w:tc>
          <w:tcPr>
            <w:tcW w:w="1238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其他（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2</w:t>
            </w:r>
            <w:r>
              <w:rPr>
                <w:rFonts w:eastAsia="方正书宋_GBK" w:hint="eastAsia"/>
                <w:bCs/>
                <w:snapToGrid w:val="0"/>
                <w:sz w:val="24"/>
                <w:szCs w:val="24"/>
              </w:rPr>
              <w:t>个）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PC</w:t>
            </w:r>
            <w:r>
              <w:rPr>
                <w:rFonts w:eastAsia="方正书宋_GBK" w:hint="eastAsia"/>
                <w:snapToGrid w:val="0"/>
                <w:sz w:val="24"/>
                <w:szCs w:val="24"/>
              </w:rPr>
              <w:t>装配式建筑构件成套生产线项目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20,000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70,000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广西玉柴机器集团有限公司</w:t>
            </w:r>
          </w:p>
        </w:tc>
      </w:tr>
      <w:tr w:rsidR="00375F16">
        <w:trPr>
          <w:trHeight w:val="476"/>
          <w:jc w:val="center"/>
        </w:trPr>
        <w:tc>
          <w:tcPr>
            <w:tcW w:w="7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2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新能源电力项目</w:t>
            </w:r>
          </w:p>
        </w:tc>
        <w:tc>
          <w:tcPr>
            <w:tcW w:w="15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156,000</w:t>
            </w:r>
          </w:p>
        </w:tc>
        <w:tc>
          <w:tcPr>
            <w:tcW w:w="18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30,000</w:t>
            </w:r>
          </w:p>
        </w:tc>
        <w:tc>
          <w:tcPr>
            <w:tcW w:w="37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5F16" w:rsidRDefault="008B411C">
            <w:pPr>
              <w:widowControl/>
              <w:suppressAutoHyphens/>
              <w:spacing w:line="400" w:lineRule="exact"/>
              <w:jc w:val="center"/>
              <w:rPr>
                <w:rFonts w:eastAsia="方正书宋_GBK"/>
                <w:snapToGrid w:val="0"/>
                <w:sz w:val="24"/>
                <w:szCs w:val="24"/>
                <w:lang w:eastAsia="ar-SA"/>
              </w:rPr>
            </w:pPr>
            <w:r>
              <w:rPr>
                <w:rFonts w:eastAsia="方正书宋_GBK" w:hint="eastAsia"/>
                <w:snapToGrid w:val="0"/>
                <w:sz w:val="24"/>
                <w:szCs w:val="24"/>
              </w:rPr>
              <w:t>广西玉柴新能源有限公司</w:t>
            </w:r>
          </w:p>
        </w:tc>
      </w:tr>
    </w:tbl>
    <w:p w:rsidR="00375F16" w:rsidRDefault="00375F16"/>
    <w:sectPr w:rsidR="00375F16" w:rsidSect="00375F16">
      <w:pgSz w:w="16838" w:h="11906" w:orient="landscape"/>
      <w:pgMar w:top="1417" w:right="1928" w:bottom="1417" w:left="1814" w:header="851" w:footer="1134" w:gutter="0"/>
      <w:cols w:space="0"/>
      <w:docGrid w:type="lines" w:linePitch="4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1C" w:rsidRDefault="008B411C" w:rsidP="003222BC">
      <w:r>
        <w:separator/>
      </w:r>
    </w:p>
  </w:endnote>
  <w:endnote w:type="continuationSeparator" w:id="0">
    <w:p w:rsidR="008B411C" w:rsidRDefault="008B411C" w:rsidP="0032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1C" w:rsidRDefault="008B411C" w:rsidP="003222BC">
      <w:r>
        <w:separator/>
      </w:r>
    </w:p>
  </w:footnote>
  <w:footnote w:type="continuationSeparator" w:id="0">
    <w:p w:rsidR="008B411C" w:rsidRDefault="008B411C" w:rsidP="00322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DA2E5D"/>
    <w:rsid w:val="003222BC"/>
    <w:rsid w:val="00375F16"/>
    <w:rsid w:val="008B411C"/>
    <w:rsid w:val="24171F74"/>
    <w:rsid w:val="5FDA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16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75F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558</Words>
  <Characters>3181</Characters>
  <Application>Microsoft Office Word</Application>
  <DocSecurity>0</DocSecurity>
  <Lines>26</Lines>
  <Paragraphs>7</Paragraphs>
  <ScaleCrop>false</ScaleCrop>
  <Company>gxnews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dengd</dc:creator>
  <cp:lastModifiedBy>Administrator</cp:lastModifiedBy>
  <cp:revision>2</cp:revision>
  <dcterms:created xsi:type="dcterms:W3CDTF">2018-12-11T08:18:00Z</dcterms:created>
  <dcterms:modified xsi:type="dcterms:W3CDTF">2018-12-11T08:18:00Z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