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25" w:rsidRDefault="00CF69A6">
      <w:pPr>
        <w:pStyle w:val="a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/>
          <w:snapToGrid w:val="0"/>
          <w:kern w:val="2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2"/>
          <w:sz w:val="32"/>
          <w:szCs w:val="32"/>
        </w:rPr>
        <w:t>附件</w:t>
      </w:r>
    </w:p>
    <w:p w:rsidR="00585325" w:rsidRDefault="00CF69A6">
      <w:pPr>
        <w:pStyle w:val="a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Times New Roman"/>
          <w:snapToGrid w:val="0"/>
          <w:kern w:val="2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hint="eastAsia"/>
          <w:snapToGrid w:val="0"/>
          <w:kern w:val="2"/>
          <w:sz w:val="44"/>
          <w:szCs w:val="44"/>
        </w:rPr>
        <w:t>2017</w:t>
      </w:r>
      <w:r>
        <w:rPr>
          <w:rFonts w:ascii="方正小标宋_GBK" w:eastAsia="方正小标宋_GBK" w:hAnsi="Times New Roman" w:hint="eastAsia"/>
          <w:snapToGrid w:val="0"/>
          <w:kern w:val="2"/>
          <w:sz w:val="44"/>
          <w:szCs w:val="44"/>
        </w:rPr>
        <w:t>—</w:t>
      </w:r>
      <w:r>
        <w:rPr>
          <w:rFonts w:ascii="方正小标宋_GBK" w:eastAsia="方正小标宋_GBK" w:hAnsi="Times New Roman" w:hint="eastAsia"/>
          <w:snapToGrid w:val="0"/>
          <w:kern w:val="2"/>
          <w:sz w:val="44"/>
          <w:szCs w:val="44"/>
        </w:rPr>
        <w:t>2020</w:t>
      </w:r>
      <w:r>
        <w:rPr>
          <w:rFonts w:ascii="方正小标宋_GBK" w:eastAsia="方正小标宋_GBK" w:hAnsi="Times New Roman" w:hint="eastAsia"/>
          <w:snapToGrid w:val="0"/>
          <w:kern w:val="2"/>
          <w:sz w:val="44"/>
          <w:szCs w:val="44"/>
        </w:rPr>
        <w:t>年广西畜禽粪污资源化利用</w:t>
      </w:r>
    </w:p>
    <w:p w:rsidR="00585325" w:rsidRDefault="00CF69A6">
      <w:pPr>
        <w:pStyle w:val="a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eastAsia="方正小标宋_GBK" w:hAnsi="Times New Roman"/>
          <w:snapToGrid w:val="0"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kern w:val="2"/>
          <w:sz w:val="44"/>
          <w:szCs w:val="44"/>
        </w:rPr>
        <w:t>重点工作任务分工</w:t>
      </w:r>
      <w:bookmarkEnd w:id="0"/>
    </w:p>
    <w:p w:rsidR="00585325" w:rsidRDefault="00585325">
      <w:pPr>
        <w:pStyle w:val="a5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/>
          <w:snapToGrid w:val="0"/>
          <w:kern w:val="2"/>
          <w:sz w:val="32"/>
          <w:szCs w:val="32"/>
        </w:rPr>
      </w:pP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99"/>
        <w:gridCol w:w="6103"/>
        <w:gridCol w:w="1989"/>
        <w:gridCol w:w="2376"/>
        <w:gridCol w:w="1831"/>
      </w:tblGrid>
      <w:tr w:rsidR="00585325">
        <w:trPr>
          <w:trHeight w:val="454"/>
          <w:tblHeader/>
          <w:jc w:val="center"/>
        </w:trPr>
        <w:tc>
          <w:tcPr>
            <w:tcW w:w="799" w:type="dxa"/>
            <w:vAlign w:val="center"/>
          </w:tcPr>
          <w:p w:rsidR="00585325" w:rsidRDefault="00585325">
            <w:pPr>
              <w:widowControl/>
              <w:spacing w:line="360" w:lineRule="exact"/>
              <w:jc w:val="center"/>
              <w:rPr>
                <w:rFonts w:ascii="方正黑体_GBK" w:eastAsia="方正黑体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ascii="方正黑体_GBK" w:eastAsia="方正黑体_GBK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>具体内容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ascii="方正黑体_GBK" w:eastAsia="方正黑体_GBK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>时</w:t>
            </w: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>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ascii="方正黑体_GBK" w:eastAsia="方正黑体_GBK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>牵头单位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ascii="方正黑体_GBK" w:eastAsia="方正黑体_GBK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sz w:val="24"/>
                <w:szCs w:val="24"/>
              </w:rPr>
              <w:t>主体责任单位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重点</w:t>
            </w:r>
          </w:p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任务</w:t>
            </w: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各市、县（市、区）畜禽粪污综合利用率达到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63%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以上，规模养殖场粪污处理设施装备配套率达到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67.55%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tcMar>
              <w:top w:w="85" w:type="dxa"/>
              <w:bottom w:w="85" w:type="dxa"/>
            </w:tcMar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建设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个国家畜禽粪污资源化利用重点县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6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月—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月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玉林市人民政府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tcMar>
              <w:top w:w="85" w:type="dxa"/>
              <w:bottom w:w="85" w:type="dxa"/>
            </w:tcMar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各市、县（市、区）畜禽粪污综合利用率达到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67%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以上，规模养殖场粪污处理设施装备配套率达到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76.70%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tcMar>
              <w:top w:w="85" w:type="dxa"/>
              <w:bottom w:w="85" w:type="dxa"/>
            </w:tcMar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每年争取新建设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个国家畜禽粪污资源化利用重点县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生猪调出大县</w:t>
            </w:r>
          </w:p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所在市人民政府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tcMar>
              <w:top w:w="85" w:type="dxa"/>
              <w:bottom w:w="85" w:type="dxa"/>
            </w:tcMar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各市、县（市、区）畜禽粪污综合利用率达到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71%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以上，规模养殖场粪污处理设施装备配套率达到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85.85%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2019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tcMar>
              <w:top w:w="85" w:type="dxa"/>
              <w:bottom w:w="85" w:type="dxa"/>
            </w:tcMar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各市、县（市、区）畜禽粪污综合利用率达到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75%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以上，规模养殖场粪污处理设施装备配套率达到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95%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以上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tcMar>
              <w:top w:w="85" w:type="dxa"/>
              <w:bottom w:w="85" w:type="dxa"/>
            </w:tcMar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 w:val="restart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lastRenderedPageBreak/>
              <w:t>重点</w:t>
            </w:r>
          </w:p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任务</w:t>
            </w: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落实畜禽规模养殖环境影响评估制度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环境保护厅、农业厅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建立健全畜禽养殖污染监管制度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环境保护厅、农业厅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建立属地管理责任制度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环境保护厅、农业厅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落实规模养殖场主体责任制度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环境保护厅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建立健全绩效评价考核制度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农业厅、环境保护厅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构建种养循环发展机制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2018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加强财政资金支持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财政厅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落实税收支持政策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自治区地税局、</w:t>
            </w:r>
          </w:p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国税局、能源局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解决用地用电问题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自治区国土资源厅、物价局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加快畜牧业转型升级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提升粪污资源化利用能力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农业厅、科技厅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  <w:tr w:rsidR="00585325">
        <w:trPr>
          <w:trHeight w:val="454"/>
          <w:jc w:val="center"/>
        </w:trPr>
        <w:tc>
          <w:tcPr>
            <w:tcW w:w="799" w:type="dxa"/>
            <w:vMerge/>
            <w:vAlign w:val="center"/>
          </w:tcPr>
          <w:p w:rsidR="00585325" w:rsidRDefault="00585325">
            <w:pPr>
              <w:widowControl/>
              <w:spacing w:line="360" w:lineRule="exact"/>
              <w:jc w:val="left"/>
              <w:rPr>
                <w:rFonts w:eastAsia="方正仿宋_GBK"/>
                <w:snapToGrid w:val="0"/>
                <w:sz w:val="24"/>
                <w:szCs w:val="24"/>
              </w:rPr>
            </w:pPr>
          </w:p>
        </w:tc>
        <w:tc>
          <w:tcPr>
            <w:tcW w:w="6103" w:type="dxa"/>
            <w:vAlign w:val="center"/>
          </w:tcPr>
          <w:p w:rsidR="00585325" w:rsidRDefault="00CF69A6">
            <w:pPr>
              <w:widowControl/>
              <w:spacing w:line="360" w:lineRule="exact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健全组织，加强领导</w:t>
            </w:r>
          </w:p>
        </w:tc>
        <w:tc>
          <w:tcPr>
            <w:tcW w:w="1989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2017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—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2020</w:t>
            </w:r>
            <w:r>
              <w:rPr>
                <w:rFonts w:eastAsia="方正仿宋_GBK" w:hint="eastAsia"/>
                <w:snapToGrid w:val="0"/>
                <w:sz w:val="24"/>
                <w:szCs w:val="24"/>
              </w:rPr>
              <w:t>年</w:t>
            </w:r>
          </w:p>
        </w:tc>
        <w:tc>
          <w:tcPr>
            <w:tcW w:w="2376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农业厅</w:t>
            </w:r>
          </w:p>
        </w:tc>
        <w:tc>
          <w:tcPr>
            <w:tcW w:w="1831" w:type="dxa"/>
            <w:vAlign w:val="center"/>
          </w:tcPr>
          <w:p w:rsidR="00585325" w:rsidRDefault="00CF69A6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sz w:val="24"/>
                <w:szCs w:val="24"/>
              </w:rPr>
              <w:t>各市人民政府</w:t>
            </w:r>
          </w:p>
        </w:tc>
      </w:tr>
    </w:tbl>
    <w:p w:rsidR="00585325" w:rsidRDefault="00585325"/>
    <w:sectPr w:rsidR="00585325" w:rsidSect="00585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E57161"/>
    <w:rsid w:val="00585325"/>
    <w:rsid w:val="00CF69A6"/>
    <w:rsid w:val="78E5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325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5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8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853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5853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gxnews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2018-12-11T08:51:00Z</dcterms:created>
  <dcterms:modified xsi:type="dcterms:W3CDTF">2018-12-11T08:51:00Z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