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9E" w:rsidRPr="0012446D" w:rsidRDefault="003C349E" w:rsidP="003C349E">
      <w:pPr>
        <w:jc w:val="left"/>
        <w:rPr>
          <w:rFonts w:ascii="黑体" w:eastAsia="黑体" w:hint="eastAsia"/>
          <w:sz w:val="32"/>
          <w:szCs w:val="32"/>
        </w:rPr>
      </w:pPr>
      <w:r w:rsidRPr="0012446D">
        <w:rPr>
          <w:rFonts w:ascii="黑体" w:eastAsia="黑体" w:hint="eastAsia"/>
          <w:sz w:val="32"/>
          <w:szCs w:val="32"/>
        </w:rPr>
        <w:t>附件</w:t>
      </w:r>
    </w:p>
    <w:p w:rsidR="003C349E" w:rsidRPr="0012446D" w:rsidRDefault="003C349E" w:rsidP="003C349E">
      <w:pPr>
        <w:pStyle w:val="2"/>
        <w:jc w:val="center"/>
        <w:rPr>
          <w:rFonts w:ascii="方正小标宋简体" w:eastAsia="方正小标宋简体" w:hAnsi="Times New Roman" w:hint="eastAsia"/>
          <w:b w:val="0"/>
          <w:sz w:val="40"/>
        </w:rPr>
      </w:pPr>
      <w:r w:rsidRPr="0012446D">
        <w:rPr>
          <w:rFonts w:ascii="方正小标宋简体" w:eastAsia="方正小标宋简体" w:hAnsi="Times New Roman" w:hint="eastAsia"/>
          <w:b w:val="0"/>
          <w:sz w:val="40"/>
        </w:rPr>
        <w:t>食品经营许可现场核查表（专业网络订餐）</w:t>
      </w:r>
    </w:p>
    <w:tbl>
      <w:tblPr>
        <w:tblW w:w="13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851"/>
        <w:gridCol w:w="1755"/>
        <w:gridCol w:w="1530"/>
        <w:gridCol w:w="1305"/>
        <w:gridCol w:w="1500"/>
        <w:gridCol w:w="1860"/>
        <w:gridCol w:w="1830"/>
        <w:gridCol w:w="933"/>
      </w:tblGrid>
      <w:tr w:rsidR="003C349E" w:rsidRPr="004E68F1" w:rsidTr="00025FB6">
        <w:trPr>
          <w:cantSplit/>
          <w:trHeight w:val="20"/>
          <w:tblHeader/>
          <w:jc w:val="center"/>
        </w:trPr>
        <w:tc>
          <w:tcPr>
            <w:tcW w:w="2427" w:type="dxa"/>
            <w:vAlign w:val="center"/>
          </w:tcPr>
          <w:p w:rsidR="003C349E" w:rsidRPr="004E68F1" w:rsidRDefault="003C349E" w:rsidP="00025FB6">
            <w:pPr>
              <w:jc w:val="center"/>
              <w:rPr>
                <w:color w:val="FF0000"/>
                <w:szCs w:val="21"/>
              </w:rPr>
            </w:pPr>
            <w:r w:rsidRPr="004E68F1">
              <w:rPr>
                <w:b/>
                <w:color w:val="000000"/>
                <w:szCs w:val="21"/>
              </w:rPr>
              <w:t>核查内容</w:t>
            </w:r>
          </w:p>
        </w:tc>
        <w:tc>
          <w:tcPr>
            <w:tcW w:w="851" w:type="dxa"/>
            <w:vAlign w:val="center"/>
          </w:tcPr>
          <w:p w:rsidR="003C349E" w:rsidRPr="004E68F1" w:rsidRDefault="003C349E" w:rsidP="00025FB6">
            <w:pPr>
              <w:jc w:val="center"/>
              <w:rPr>
                <w:b/>
                <w:color w:val="000000"/>
                <w:szCs w:val="21"/>
              </w:rPr>
            </w:pPr>
            <w:r w:rsidRPr="004E68F1">
              <w:rPr>
                <w:b/>
                <w:color w:val="000000"/>
                <w:szCs w:val="21"/>
              </w:rPr>
              <w:t>编号</w:t>
            </w: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pPr>
              <w:jc w:val="center"/>
              <w:rPr>
                <w:b/>
                <w:szCs w:val="21"/>
              </w:rPr>
            </w:pPr>
            <w:r w:rsidRPr="004E68F1">
              <w:rPr>
                <w:b/>
                <w:szCs w:val="21"/>
              </w:rPr>
              <w:t>核查和评价方法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jc w:val="center"/>
              <w:rPr>
                <w:b/>
                <w:szCs w:val="21"/>
              </w:rPr>
            </w:pPr>
            <w:r w:rsidRPr="004E68F1">
              <w:rPr>
                <w:b/>
                <w:szCs w:val="21"/>
              </w:rPr>
              <w:t>核查项目的重要性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</w:tcPr>
          <w:p w:rsidR="003C349E" w:rsidRPr="004E68F1" w:rsidRDefault="003C349E" w:rsidP="00025FB6">
            <w:pPr>
              <w:rPr>
                <w:color w:val="FF0000"/>
                <w:szCs w:val="21"/>
              </w:rPr>
            </w:pPr>
            <w:r w:rsidRPr="004E68F1">
              <w:rPr>
                <w:color w:val="000000"/>
                <w:szCs w:val="21"/>
              </w:rPr>
              <w:t>1.</w:t>
            </w:r>
            <w:r w:rsidRPr="004E68F1">
              <w:rPr>
                <w:color w:val="000000"/>
                <w:szCs w:val="21"/>
              </w:rPr>
              <w:t>单位选址</w:t>
            </w:r>
          </w:p>
        </w:tc>
        <w:tc>
          <w:tcPr>
            <w:tcW w:w="851" w:type="dxa"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bottom w:val="single" w:sz="4" w:space="0" w:color="auto"/>
            </w:tcBorders>
            <w:vAlign w:val="center"/>
          </w:tcPr>
          <w:p w:rsidR="003C349E" w:rsidRPr="004E68F1" w:rsidRDefault="003C349E" w:rsidP="00025FB6">
            <w:pPr>
              <w:snapToGrid w:val="0"/>
              <w:spacing w:line="240" w:lineRule="atLeast"/>
              <w:rPr>
                <w:szCs w:val="21"/>
              </w:rPr>
            </w:pPr>
            <w:r w:rsidRPr="004E68F1">
              <w:rPr>
                <w:szCs w:val="21"/>
              </w:rPr>
              <w:t>选择地势干燥、有给排水条件和电力供应的地区，不得设在易受到污染的区域。距离非水冲式厕所、粪坑、污水池、垃圾场（站、房）等污染源</w:t>
            </w:r>
            <w:r w:rsidRPr="004E68F1">
              <w:rPr>
                <w:szCs w:val="21"/>
              </w:rPr>
              <w:t>25m</w:t>
            </w:r>
            <w:r w:rsidRPr="004E68F1">
              <w:rPr>
                <w:szCs w:val="21"/>
              </w:rPr>
              <w:t>以上，并设置在粉尘、有害气体、放射性物质和其他扩散性污染源的影响范围之外。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2.</w:t>
            </w:r>
            <w:r w:rsidRPr="004E68F1">
              <w:rPr>
                <w:color w:val="000000"/>
                <w:szCs w:val="21"/>
              </w:rPr>
              <w:t>加工方式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bottom w:val="single" w:sz="4" w:space="0" w:color="auto"/>
            </w:tcBorders>
            <w:vAlign w:val="center"/>
          </w:tcPr>
          <w:p w:rsidR="003C349E" w:rsidRPr="004E68F1" w:rsidRDefault="003C349E" w:rsidP="00025FB6">
            <w:pPr>
              <w:snapToGrid w:val="0"/>
              <w:spacing w:line="240" w:lineRule="atLeast"/>
              <w:rPr>
                <w:szCs w:val="21"/>
              </w:rPr>
            </w:pPr>
            <w:r w:rsidRPr="004E68F1">
              <w:rPr>
                <w:szCs w:val="21"/>
              </w:rPr>
              <w:t>主要菜肴品种应采用半成品烹饪加工，或以成品</w:t>
            </w:r>
            <w:proofErr w:type="gramStart"/>
            <w:r w:rsidRPr="004E68F1">
              <w:rPr>
                <w:szCs w:val="21"/>
              </w:rPr>
              <w:t>料理包再加热</w:t>
            </w:r>
            <w:proofErr w:type="gramEnd"/>
            <w:r w:rsidRPr="004E68F1">
              <w:rPr>
                <w:szCs w:val="21"/>
              </w:rPr>
              <w:t>，店内只进行淘米、泡发等不产生大量废弃物的原料简单加工。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bottom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采用加热保温方式进行加工，设置与加工方式相适应的生产加工经营场地和设施设备。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bottom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bottom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全部使用一次性餐具。一次性餐具脱包后通过传递窗进入分装间。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3.</w:t>
            </w:r>
            <w:r w:rsidRPr="004E68F1">
              <w:rPr>
                <w:color w:val="000000"/>
                <w:szCs w:val="21"/>
              </w:rPr>
              <w:t>加工场所设置</w:t>
            </w:r>
          </w:p>
        </w:tc>
        <w:tc>
          <w:tcPr>
            <w:tcW w:w="851" w:type="dxa"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pPr>
              <w:snapToGrid w:val="0"/>
              <w:spacing w:line="240" w:lineRule="atLeast"/>
              <w:rPr>
                <w:szCs w:val="21"/>
              </w:rPr>
            </w:pPr>
            <w:r w:rsidRPr="004E68F1">
              <w:rPr>
                <w:szCs w:val="21"/>
              </w:rPr>
              <w:t>设置与加工工艺及品种、数量相适应的半成品和成品料理包贮存、烹饪热加工、膳食分装、成品储存配送、工用具清洗消毒和保洁、外送箱清洗消毒和存放、更衣等场所。其中膳食分装应为专间，工用具和容器清洗消毒保洁应为独立隔间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</w:tcPr>
          <w:p w:rsidR="003C349E" w:rsidRPr="004E68F1" w:rsidRDefault="003C349E" w:rsidP="00025F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pPr>
              <w:snapToGrid w:val="0"/>
              <w:spacing w:line="240" w:lineRule="atLeast"/>
              <w:rPr>
                <w:kern w:val="0"/>
                <w:szCs w:val="21"/>
              </w:rPr>
            </w:pPr>
            <w:r w:rsidRPr="004E68F1">
              <w:rPr>
                <w:kern w:val="0"/>
                <w:szCs w:val="21"/>
              </w:rPr>
              <w:t>加工场所内无圈养、宰杀活的禽畜类动物的区域（或距离</w:t>
            </w:r>
            <w:r w:rsidRPr="004E68F1">
              <w:rPr>
                <w:kern w:val="0"/>
                <w:szCs w:val="21"/>
              </w:rPr>
              <w:t>25m</w:t>
            </w:r>
            <w:r w:rsidRPr="004E68F1">
              <w:rPr>
                <w:kern w:val="0"/>
                <w:szCs w:val="21"/>
              </w:rPr>
              <w:t>以上）。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  <w:r w:rsidRPr="004E68F1">
              <w:rPr>
                <w:kern w:val="0"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pPr>
              <w:snapToGrid w:val="0"/>
              <w:spacing w:line="240" w:lineRule="atLeast"/>
              <w:rPr>
                <w:kern w:val="0"/>
                <w:szCs w:val="21"/>
              </w:rPr>
            </w:pPr>
            <w:r w:rsidRPr="004E68F1">
              <w:t>加工场所天花板离地面距离</w:t>
            </w:r>
            <w:r w:rsidRPr="004E68F1">
              <w:t>≥2.5m</w:t>
            </w:r>
            <w:r w:rsidRPr="004E68F1">
              <w:rPr>
                <w:szCs w:val="21"/>
              </w:rPr>
              <w:t>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  <w:r w:rsidRPr="004E68F1">
              <w:t>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pPr>
              <w:snapToGrid w:val="0"/>
              <w:spacing w:line="240" w:lineRule="atLeast"/>
            </w:pPr>
            <w:r w:rsidRPr="004E68F1">
              <w:t>加工场所建筑内部使用的建筑材料应牢固并耐用，无严重破损、积垢。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rPr>
                <w:b/>
                <w:bCs/>
                <w:color w:val="FF0000"/>
                <w:szCs w:val="21"/>
              </w:rPr>
            </w:pPr>
            <w:r w:rsidRPr="004E68F1">
              <w:rPr>
                <w:kern w:val="0"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4.</w:t>
            </w:r>
            <w:r w:rsidRPr="004E68F1">
              <w:rPr>
                <w:color w:val="000000"/>
                <w:szCs w:val="21"/>
              </w:rPr>
              <w:t>加工场所布局</w:t>
            </w:r>
          </w:p>
        </w:tc>
        <w:tc>
          <w:tcPr>
            <w:tcW w:w="851" w:type="dxa"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加工场所应按照原料简单加工、膳食制作、分装、暂存、配送的顺序合理布局，食品加工处理流程应为生</w:t>
            </w:r>
            <w:proofErr w:type="gramStart"/>
            <w:r w:rsidRPr="004E68F1">
              <w:rPr>
                <w:szCs w:val="21"/>
              </w:rPr>
              <w:t>进熟出</w:t>
            </w:r>
            <w:proofErr w:type="gramEnd"/>
            <w:r w:rsidRPr="004E68F1">
              <w:rPr>
                <w:szCs w:val="21"/>
              </w:rPr>
              <w:t>的单一流向，防止食品在贮存和生产加工过程中造成交叉污染，避免食品接触有毒物和不洁物。成品通道、出口与半成品通道、入口均应分开设置。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vAlign w:val="center"/>
          </w:tcPr>
          <w:p w:rsidR="003C349E" w:rsidRPr="004E68F1" w:rsidRDefault="003C349E" w:rsidP="00025FB6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t>各类场所（功能间）、区域有明显的区分标识。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vAlign w:val="center"/>
          </w:tcPr>
          <w:p w:rsidR="003C349E" w:rsidRPr="004E68F1" w:rsidRDefault="003C349E" w:rsidP="00025FB6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r w:rsidRPr="004E68F1">
              <w:t>用于半成品、成品的容器和使用的工具、用具，应当有明显的区分标识，存放区域分开设置。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r w:rsidRPr="004E68F1">
              <w:t>***</w:t>
            </w:r>
          </w:p>
        </w:tc>
      </w:tr>
      <w:tr w:rsidR="003C349E" w:rsidRPr="004E68F1" w:rsidTr="00025FB6">
        <w:trPr>
          <w:cantSplit/>
          <w:trHeight w:val="20"/>
          <w:tblHeader/>
          <w:jc w:val="center"/>
        </w:trPr>
        <w:tc>
          <w:tcPr>
            <w:tcW w:w="2427" w:type="dxa"/>
            <w:vAlign w:val="center"/>
          </w:tcPr>
          <w:p w:rsidR="003C349E" w:rsidRPr="004E68F1" w:rsidRDefault="003C349E" w:rsidP="00025FB6">
            <w:pPr>
              <w:jc w:val="center"/>
              <w:rPr>
                <w:color w:val="FF0000"/>
                <w:szCs w:val="21"/>
              </w:rPr>
            </w:pPr>
            <w:r w:rsidRPr="004E68F1">
              <w:rPr>
                <w:b/>
                <w:color w:val="000000"/>
                <w:szCs w:val="21"/>
              </w:rPr>
              <w:t>核查内容</w:t>
            </w:r>
          </w:p>
        </w:tc>
        <w:tc>
          <w:tcPr>
            <w:tcW w:w="851" w:type="dxa"/>
            <w:vAlign w:val="center"/>
          </w:tcPr>
          <w:p w:rsidR="003C349E" w:rsidRPr="004E68F1" w:rsidRDefault="003C349E" w:rsidP="00025FB6">
            <w:pPr>
              <w:jc w:val="center"/>
              <w:rPr>
                <w:b/>
                <w:color w:val="000000"/>
                <w:szCs w:val="21"/>
              </w:rPr>
            </w:pPr>
            <w:r w:rsidRPr="004E68F1">
              <w:rPr>
                <w:b/>
                <w:color w:val="000000"/>
                <w:szCs w:val="21"/>
              </w:rPr>
              <w:t>编号</w:t>
            </w: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pPr>
              <w:jc w:val="center"/>
              <w:rPr>
                <w:b/>
                <w:szCs w:val="21"/>
              </w:rPr>
            </w:pPr>
            <w:r w:rsidRPr="004E68F1">
              <w:rPr>
                <w:b/>
                <w:szCs w:val="21"/>
              </w:rPr>
              <w:t>核查和评价方法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jc w:val="center"/>
              <w:rPr>
                <w:b/>
                <w:szCs w:val="21"/>
              </w:rPr>
            </w:pPr>
            <w:r w:rsidRPr="004E68F1">
              <w:rPr>
                <w:b/>
                <w:szCs w:val="21"/>
              </w:rPr>
              <w:t>核查项目的重要性</w:t>
            </w:r>
          </w:p>
        </w:tc>
      </w:tr>
      <w:tr w:rsidR="003C349E" w:rsidRPr="004E68F1" w:rsidTr="00025FB6">
        <w:trPr>
          <w:cantSplit/>
          <w:trHeight w:val="385"/>
          <w:jc w:val="center"/>
        </w:trPr>
        <w:tc>
          <w:tcPr>
            <w:tcW w:w="2427" w:type="dxa"/>
            <w:vMerge w:val="restart"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  <w:r w:rsidRPr="004E68F1">
              <w:rPr>
                <w:kern w:val="0"/>
                <w:szCs w:val="21"/>
              </w:rPr>
              <w:t>5.</w:t>
            </w:r>
            <w:r w:rsidRPr="004E68F1">
              <w:rPr>
                <w:kern w:val="0"/>
                <w:szCs w:val="21"/>
              </w:rPr>
              <w:t>加工场所面积</w:t>
            </w:r>
          </w:p>
        </w:tc>
        <w:tc>
          <w:tcPr>
            <w:tcW w:w="851" w:type="dxa"/>
            <w:vMerge w:val="restart"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加工场所面积应与最大供餐人数相适应，并符合以下要求：</w:t>
            </w:r>
          </w:p>
        </w:tc>
        <w:tc>
          <w:tcPr>
            <w:tcW w:w="933" w:type="dxa"/>
            <w:vMerge w:val="restart"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420"/>
          <w:jc w:val="center"/>
        </w:trPr>
        <w:tc>
          <w:tcPr>
            <w:tcW w:w="2427" w:type="dxa"/>
            <w:vMerge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proofErr w:type="gramStart"/>
            <w:r w:rsidRPr="004E68F1">
              <w:rPr>
                <w:szCs w:val="21"/>
              </w:rPr>
              <w:t>单餐最多</w:t>
            </w:r>
            <w:proofErr w:type="gramEnd"/>
            <w:r w:rsidRPr="004E68F1">
              <w:rPr>
                <w:szCs w:val="21"/>
              </w:rPr>
              <w:t>供应人份（以</w:t>
            </w:r>
            <w:r w:rsidRPr="004E68F1">
              <w:rPr>
                <w:szCs w:val="21"/>
              </w:rPr>
              <w:t>2</w:t>
            </w:r>
            <w:r w:rsidRPr="004E68F1">
              <w:rPr>
                <w:szCs w:val="21"/>
              </w:rPr>
              <w:t>小时计）</w:t>
            </w:r>
          </w:p>
        </w:tc>
        <w:tc>
          <w:tcPr>
            <w:tcW w:w="6195" w:type="dxa"/>
            <w:gridSpan w:val="4"/>
            <w:vAlign w:val="center"/>
          </w:tcPr>
          <w:p w:rsidR="003C349E" w:rsidRPr="004E68F1" w:rsidRDefault="003C349E" w:rsidP="00025FB6">
            <w:pPr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加工场所（包括原料简单加工、烹饪、专间、食品库房、工用具和容器、外送箱清洁和存放等区域）</w:t>
            </w:r>
          </w:p>
        </w:tc>
        <w:tc>
          <w:tcPr>
            <w:tcW w:w="1830" w:type="dxa"/>
            <w:vMerge w:val="restart"/>
            <w:vAlign w:val="center"/>
          </w:tcPr>
          <w:p w:rsidR="003C349E" w:rsidRPr="004E68F1" w:rsidRDefault="003C349E" w:rsidP="00025FB6">
            <w:pPr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膳食加热和保温能力（包括加热后膳食、分装后盒饭等）</w:t>
            </w:r>
          </w:p>
        </w:tc>
        <w:tc>
          <w:tcPr>
            <w:tcW w:w="933" w:type="dxa"/>
            <w:vMerge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</w:p>
        </w:tc>
      </w:tr>
      <w:tr w:rsidR="003C349E" w:rsidRPr="004E68F1" w:rsidTr="00025FB6">
        <w:trPr>
          <w:cantSplit/>
          <w:trHeight w:val="624"/>
          <w:jc w:val="center"/>
        </w:trPr>
        <w:tc>
          <w:tcPr>
            <w:tcW w:w="2427" w:type="dxa"/>
            <w:vMerge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Merge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总面积</w:t>
            </w:r>
          </w:p>
        </w:tc>
        <w:tc>
          <w:tcPr>
            <w:tcW w:w="1305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除库房外区域面积占总面积比例</w:t>
            </w:r>
          </w:p>
        </w:tc>
        <w:tc>
          <w:tcPr>
            <w:tcW w:w="150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膳食分装专间面积</w:t>
            </w:r>
          </w:p>
        </w:tc>
        <w:tc>
          <w:tcPr>
            <w:tcW w:w="186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工用具和容器、外送箱清洁和存放场所面积</w:t>
            </w:r>
          </w:p>
        </w:tc>
        <w:tc>
          <w:tcPr>
            <w:tcW w:w="1830" w:type="dxa"/>
            <w:vMerge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</w:p>
        </w:tc>
        <w:tc>
          <w:tcPr>
            <w:tcW w:w="933" w:type="dxa"/>
            <w:vMerge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</w:p>
        </w:tc>
      </w:tr>
      <w:tr w:rsidR="003C349E" w:rsidRPr="004E68F1" w:rsidTr="00025FB6">
        <w:trPr>
          <w:cantSplit/>
          <w:trHeight w:val="257"/>
          <w:jc w:val="center"/>
        </w:trPr>
        <w:tc>
          <w:tcPr>
            <w:tcW w:w="2427" w:type="dxa"/>
            <w:vMerge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rFonts w:ascii="宋体" w:hAnsi="宋体" w:cs="宋体" w:hint="eastAsia"/>
                <w:szCs w:val="21"/>
              </w:rPr>
              <w:t>≧</w:t>
            </w:r>
            <w:r w:rsidRPr="004E68F1">
              <w:rPr>
                <w:szCs w:val="21"/>
              </w:rPr>
              <w:t>80</w:t>
            </w:r>
            <w:r w:rsidRPr="004E68F1">
              <w:rPr>
                <w:szCs w:val="21"/>
              </w:rPr>
              <w:t>㎡</w:t>
            </w:r>
          </w:p>
        </w:tc>
        <w:tc>
          <w:tcPr>
            <w:tcW w:w="1305" w:type="dxa"/>
            <w:vMerge w:val="restart"/>
            <w:vAlign w:val="center"/>
          </w:tcPr>
          <w:p w:rsidR="003C349E" w:rsidRPr="004E68F1" w:rsidRDefault="003C349E" w:rsidP="00025FB6">
            <w:pPr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65%</w:t>
            </w:r>
          </w:p>
        </w:tc>
        <w:tc>
          <w:tcPr>
            <w:tcW w:w="150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rFonts w:ascii="宋体" w:hAnsi="宋体" w:cs="宋体" w:hint="eastAsia"/>
                <w:szCs w:val="21"/>
              </w:rPr>
              <w:t>≧</w:t>
            </w:r>
            <w:r w:rsidRPr="004E68F1">
              <w:rPr>
                <w:szCs w:val="21"/>
              </w:rPr>
              <w:t>18</w:t>
            </w:r>
            <w:r w:rsidRPr="004E68F1">
              <w:rPr>
                <w:szCs w:val="21"/>
              </w:rPr>
              <w:t>㎡</w:t>
            </w:r>
          </w:p>
        </w:tc>
        <w:tc>
          <w:tcPr>
            <w:tcW w:w="186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rFonts w:ascii="宋体" w:hAnsi="宋体" w:cs="宋体" w:hint="eastAsia"/>
                <w:szCs w:val="21"/>
              </w:rPr>
              <w:t>≧</w:t>
            </w:r>
            <w:r w:rsidRPr="004E68F1">
              <w:rPr>
                <w:szCs w:val="21"/>
              </w:rPr>
              <w:t>10</w:t>
            </w:r>
            <w:r w:rsidRPr="004E68F1">
              <w:rPr>
                <w:szCs w:val="21"/>
              </w:rPr>
              <w:t>㎡</w:t>
            </w:r>
          </w:p>
        </w:tc>
        <w:tc>
          <w:tcPr>
            <w:tcW w:w="1830" w:type="dxa"/>
            <w:vMerge w:val="restart"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与相应档次最大供餐量相适应</w:t>
            </w:r>
          </w:p>
        </w:tc>
        <w:tc>
          <w:tcPr>
            <w:tcW w:w="933" w:type="dxa"/>
            <w:vMerge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</w:p>
        </w:tc>
      </w:tr>
      <w:tr w:rsidR="003C349E" w:rsidRPr="004E68F1" w:rsidTr="00025FB6">
        <w:trPr>
          <w:cantSplit/>
          <w:trHeight w:val="247"/>
          <w:jc w:val="center"/>
        </w:trPr>
        <w:tc>
          <w:tcPr>
            <w:tcW w:w="2427" w:type="dxa"/>
            <w:vMerge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400</w:t>
            </w:r>
          </w:p>
        </w:tc>
        <w:tc>
          <w:tcPr>
            <w:tcW w:w="153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rFonts w:ascii="宋体" w:hAnsi="宋体" w:cs="宋体" w:hint="eastAsia"/>
                <w:szCs w:val="21"/>
              </w:rPr>
              <w:t>≧</w:t>
            </w:r>
            <w:r w:rsidRPr="004E68F1">
              <w:rPr>
                <w:szCs w:val="21"/>
              </w:rPr>
              <w:t>160</w:t>
            </w:r>
            <w:r w:rsidRPr="004E68F1">
              <w:rPr>
                <w:szCs w:val="21"/>
              </w:rPr>
              <w:t>㎡</w:t>
            </w:r>
          </w:p>
        </w:tc>
        <w:tc>
          <w:tcPr>
            <w:tcW w:w="1305" w:type="dxa"/>
            <w:vMerge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rFonts w:ascii="宋体" w:hAnsi="宋体" w:cs="宋体" w:hint="eastAsia"/>
                <w:szCs w:val="21"/>
              </w:rPr>
              <w:t>≧</w:t>
            </w:r>
            <w:r w:rsidRPr="004E68F1">
              <w:rPr>
                <w:szCs w:val="21"/>
              </w:rPr>
              <w:t>37</w:t>
            </w:r>
            <w:r w:rsidRPr="004E68F1">
              <w:rPr>
                <w:szCs w:val="21"/>
              </w:rPr>
              <w:t>㎡</w:t>
            </w:r>
          </w:p>
        </w:tc>
        <w:tc>
          <w:tcPr>
            <w:tcW w:w="186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rFonts w:ascii="宋体" w:hAnsi="宋体" w:cs="宋体" w:hint="eastAsia"/>
                <w:szCs w:val="21"/>
              </w:rPr>
              <w:t>≧</w:t>
            </w:r>
            <w:r w:rsidRPr="004E68F1">
              <w:rPr>
                <w:szCs w:val="21"/>
              </w:rPr>
              <w:t>20</w:t>
            </w:r>
            <w:r w:rsidRPr="004E68F1">
              <w:rPr>
                <w:szCs w:val="21"/>
              </w:rPr>
              <w:t>㎡</w:t>
            </w:r>
          </w:p>
        </w:tc>
        <w:tc>
          <w:tcPr>
            <w:tcW w:w="1830" w:type="dxa"/>
            <w:vMerge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</w:p>
        </w:tc>
        <w:tc>
          <w:tcPr>
            <w:tcW w:w="933" w:type="dxa"/>
            <w:vMerge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</w:p>
        </w:tc>
      </w:tr>
      <w:tr w:rsidR="003C349E" w:rsidRPr="004E68F1" w:rsidTr="00025FB6">
        <w:trPr>
          <w:cantSplit/>
          <w:trHeight w:val="624"/>
          <w:jc w:val="center"/>
        </w:trPr>
        <w:tc>
          <w:tcPr>
            <w:tcW w:w="2427" w:type="dxa"/>
            <w:vMerge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≥1000</w:t>
            </w:r>
          </w:p>
        </w:tc>
        <w:tc>
          <w:tcPr>
            <w:tcW w:w="153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不低于相应档次供餐</w:t>
            </w:r>
            <w:proofErr w:type="gramStart"/>
            <w:r w:rsidRPr="004E68F1">
              <w:rPr>
                <w:szCs w:val="21"/>
              </w:rPr>
              <w:t>量集体</w:t>
            </w:r>
            <w:proofErr w:type="gramEnd"/>
            <w:r w:rsidRPr="004E68F1">
              <w:rPr>
                <w:szCs w:val="21"/>
              </w:rPr>
              <w:t>用餐配送单位的</w:t>
            </w:r>
            <w:r w:rsidRPr="004E68F1">
              <w:rPr>
                <w:szCs w:val="21"/>
              </w:rPr>
              <w:t>70%</w:t>
            </w:r>
          </w:p>
        </w:tc>
        <w:tc>
          <w:tcPr>
            <w:tcW w:w="1305" w:type="dxa"/>
            <w:vMerge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与相应档次供餐</w:t>
            </w:r>
            <w:proofErr w:type="gramStart"/>
            <w:r w:rsidRPr="004E68F1">
              <w:rPr>
                <w:szCs w:val="21"/>
              </w:rPr>
              <w:t>量集体</w:t>
            </w:r>
            <w:proofErr w:type="gramEnd"/>
            <w:r w:rsidRPr="004E68F1">
              <w:rPr>
                <w:szCs w:val="21"/>
              </w:rPr>
              <w:t>用餐配送单位相同</w:t>
            </w:r>
          </w:p>
        </w:tc>
        <w:tc>
          <w:tcPr>
            <w:tcW w:w="1860" w:type="dxa"/>
            <w:vAlign w:val="center"/>
          </w:tcPr>
          <w:p w:rsidR="003C349E" w:rsidRPr="004E68F1" w:rsidRDefault="003C349E" w:rsidP="00025FB6">
            <w:pPr>
              <w:snapToGrid w:val="0"/>
              <w:jc w:val="center"/>
              <w:rPr>
                <w:szCs w:val="21"/>
              </w:rPr>
            </w:pPr>
            <w:r w:rsidRPr="004E68F1">
              <w:rPr>
                <w:szCs w:val="21"/>
              </w:rPr>
              <w:t>与相应档次最大供餐量相适应</w:t>
            </w:r>
          </w:p>
        </w:tc>
        <w:tc>
          <w:tcPr>
            <w:tcW w:w="1830" w:type="dxa"/>
            <w:vMerge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</w:p>
        </w:tc>
        <w:tc>
          <w:tcPr>
            <w:tcW w:w="933" w:type="dxa"/>
            <w:vMerge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</w:p>
        </w:tc>
      </w:tr>
      <w:tr w:rsidR="003C349E" w:rsidRPr="004E68F1" w:rsidTr="00025FB6">
        <w:trPr>
          <w:cantSplit/>
          <w:trHeight w:val="624"/>
          <w:jc w:val="center"/>
        </w:trPr>
        <w:tc>
          <w:tcPr>
            <w:tcW w:w="2427" w:type="dxa"/>
            <w:vMerge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注：菜肴全部使用成品料理包的，店内无菜肴烹饪加工的，总面积可减少</w:t>
            </w:r>
            <w:r w:rsidRPr="004E68F1">
              <w:rPr>
                <w:szCs w:val="21"/>
              </w:rPr>
              <w:t>10%</w:t>
            </w:r>
            <w:r w:rsidRPr="004E68F1">
              <w:rPr>
                <w:szCs w:val="21"/>
              </w:rPr>
              <w:t>；菜肴、主食全部使用成品料理包，店内无烹饪加工的，总面积可减少</w:t>
            </w:r>
            <w:r w:rsidRPr="004E68F1">
              <w:rPr>
                <w:szCs w:val="21"/>
              </w:rPr>
              <w:t>15%</w:t>
            </w:r>
            <w:r w:rsidRPr="004E68F1">
              <w:rPr>
                <w:szCs w:val="21"/>
              </w:rPr>
              <w:t>。</w:t>
            </w:r>
          </w:p>
        </w:tc>
        <w:tc>
          <w:tcPr>
            <w:tcW w:w="933" w:type="dxa"/>
            <w:vMerge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</w:p>
        </w:tc>
      </w:tr>
      <w:tr w:rsidR="003C349E" w:rsidRPr="004E68F1" w:rsidTr="00025FB6">
        <w:trPr>
          <w:cantSplit/>
          <w:trHeight w:val="624"/>
          <w:jc w:val="center"/>
        </w:trPr>
        <w:tc>
          <w:tcPr>
            <w:tcW w:w="2427" w:type="dxa"/>
            <w:vMerge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加工场所和设备设施与经营膳食的品种、数量相适应（提交第三</w:t>
            </w:r>
            <w:proofErr w:type="gramStart"/>
            <w:r w:rsidRPr="004E68F1">
              <w:rPr>
                <w:szCs w:val="21"/>
              </w:rPr>
              <w:t>方专业</w:t>
            </w:r>
            <w:proofErr w:type="gramEnd"/>
            <w:r w:rsidRPr="004E68F1">
              <w:rPr>
                <w:szCs w:val="21"/>
              </w:rPr>
              <w:t>机构或者专家组根据加工场所面积以及加热、保温等设施设备的处理能力出具的生产能力论证报告）。</w:t>
            </w:r>
          </w:p>
        </w:tc>
        <w:tc>
          <w:tcPr>
            <w:tcW w:w="933" w:type="dxa"/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6.</w:t>
            </w:r>
            <w:r w:rsidRPr="004E68F1">
              <w:rPr>
                <w:color w:val="000000"/>
                <w:szCs w:val="21"/>
              </w:rPr>
              <w:t>地面与排水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地面用无毒、无异味、</w:t>
            </w:r>
            <w:proofErr w:type="gramStart"/>
            <w:r w:rsidRPr="004E68F1">
              <w:rPr>
                <w:szCs w:val="21"/>
              </w:rPr>
              <w:t>不</w:t>
            </w:r>
            <w:proofErr w:type="gramEnd"/>
            <w:r w:rsidRPr="004E68F1">
              <w:rPr>
                <w:szCs w:val="21"/>
              </w:rPr>
              <w:t>透水、不易积垢的硬质材料铺设，且平整、无裂缝。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切配、餐用具清洗消毒和烹饪等易积水场所应有一定的排水坡度（不小于</w:t>
            </w:r>
            <w:r w:rsidRPr="004E68F1">
              <w:rPr>
                <w:szCs w:val="21"/>
              </w:rPr>
              <w:t>1.5%</w:t>
            </w:r>
            <w:r w:rsidRPr="004E68F1">
              <w:rPr>
                <w:szCs w:val="21"/>
              </w:rPr>
              <w:t>），其最低处应设在排水沟或地漏的位置，使地面积水能迅速排干。排水沟的排水流向应由高清洁</w:t>
            </w:r>
            <w:proofErr w:type="gramStart"/>
            <w:r w:rsidRPr="004E68F1">
              <w:rPr>
                <w:szCs w:val="21"/>
              </w:rPr>
              <w:t>操作区流向</w:t>
            </w:r>
            <w:proofErr w:type="gramEnd"/>
            <w:r w:rsidRPr="004E68F1">
              <w:rPr>
                <w:szCs w:val="21"/>
              </w:rPr>
              <w:t>低清洁操作区。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排水沟出口有网眼孔径小于</w:t>
            </w:r>
            <w:r w:rsidRPr="004E68F1">
              <w:rPr>
                <w:szCs w:val="21"/>
              </w:rPr>
              <w:t>6mm</w:t>
            </w:r>
            <w:r w:rsidRPr="004E68F1">
              <w:rPr>
                <w:szCs w:val="21"/>
              </w:rPr>
              <w:t>的金属隔栅或网罩。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lastRenderedPageBreak/>
              <w:t>7.</w:t>
            </w:r>
            <w:r w:rsidRPr="004E68F1">
              <w:rPr>
                <w:color w:val="000000"/>
                <w:szCs w:val="21"/>
              </w:rPr>
              <w:t>墙壁与门窗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加工场所墙壁应用无毒、无异味、光滑、</w:t>
            </w:r>
            <w:proofErr w:type="gramStart"/>
            <w:r w:rsidRPr="004E68F1">
              <w:rPr>
                <w:szCs w:val="21"/>
              </w:rPr>
              <w:t>不</w:t>
            </w:r>
            <w:proofErr w:type="gramEnd"/>
            <w:r w:rsidRPr="004E68F1">
              <w:rPr>
                <w:szCs w:val="21"/>
              </w:rPr>
              <w:t>吸水、浅色、耐用和易清洗的材料铺设到顶。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门、窗装配严密，与外界直接相通的门和</w:t>
            </w:r>
            <w:proofErr w:type="gramStart"/>
            <w:r w:rsidRPr="004E68F1">
              <w:rPr>
                <w:szCs w:val="21"/>
              </w:rPr>
              <w:t>可</w:t>
            </w:r>
            <w:proofErr w:type="gramEnd"/>
            <w:r w:rsidRPr="004E68F1">
              <w:rPr>
                <w:szCs w:val="21"/>
              </w:rPr>
              <w:t>开启的窗设有易于拆下清洗不生锈的纱网或空气幕，与外界直接相通的门和各类专间的门能自动关闭，室内窗台下斜</w:t>
            </w:r>
            <w:r w:rsidRPr="004E68F1">
              <w:rPr>
                <w:szCs w:val="21"/>
              </w:rPr>
              <w:t>45</w:t>
            </w:r>
            <w:r w:rsidRPr="004E68F1">
              <w:rPr>
                <w:szCs w:val="21"/>
              </w:rPr>
              <w:t>度或采用无窗台结构。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墙角、柱脚、侧面、底面的结合处宜有一定的弧度。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切配、餐用具清洗消毒、烹饪等场所和各类专间的门采用易清洗、</w:t>
            </w:r>
            <w:proofErr w:type="gramStart"/>
            <w:r w:rsidRPr="004E68F1">
              <w:rPr>
                <w:szCs w:val="21"/>
              </w:rPr>
              <w:t>不</w:t>
            </w:r>
            <w:proofErr w:type="gramEnd"/>
            <w:r w:rsidRPr="004E68F1">
              <w:rPr>
                <w:szCs w:val="21"/>
              </w:rPr>
              <w:t>吸水的坚固材料制作。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8.</w:t>
            </w:r>
            <w:r w:rsidRPr="004E68F1">
              <w:rPr>
                <w:color w:val="000000"/>
                <w:szCs w:val="21"/>
              </w:rPr>
              <w:t>天花板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天花板用无毒、无异味、</w:t>
            </w:r>
            <w:proofErr w:type="gramStart"/>
            <w:r w:rsidRPr="004E68F1">
              <w:rPr>
                <w:szCs w:val="21"/>
              </w:rPr>
              <w:t>不</w:t>
            </w:r>
            <w:proofErr w:type="gramEnd"/>
            <w:r w:rsidRPr="004E68F1">
              <w:rPr>
                <w:szCs w:val="21"/>
              </w:rPr>
              <w:t>吸水、表面光洁、耐腐蚀、耐温、浅色材料涂覆或装修。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清洁操作区、准清洁</w:t>
            </w:r>
            <w:proofErr w:type="gramStart"/>
            <w:r w:rsidRPr="004E68F1">
              <w:rPr>
                <w:szCs w:val="21"/>
              </w:rPr>
              <w:t>操作区</w:t>
            </w:r>
            <w:proofErr w:type="gramEnd"/>
            <w:r w:rsidRPr="004E68F1">
              <w:rPr>
                <w:szCs w:val="21"/>
              </w:rPr>
              <w:t>及其它半成品、成品暴露场所屋顶若为不平整的结构或有管道通过，加设平整易于清洁的吊顶（吊顶间缝隙应严密封闭）。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水蒸气较多的场所的天花板有适当的坡度，在结构上减少凝结水滴落。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szCs w:val="21"/>
              </w:rPr>
              <w:t>*</w:t>
            </w:r>
          </w:p>
        </w:tc>
      </w:tr>
      <w:tr w:rsidR="003C349E" w:rsidRPr="004E68F1" w:rsidTr="00025FB6">
        <w:trPr>
          <w:cantSplit/>
          <w:trHeight w:val="634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9.</w:t>
            </w:r>
            <w:r w:rsidRPr="004E68F1">
              <w:rPr>
                <w:szCs w:val="21"/>
              </w:rPr>
              <w:t>清洁工具</w:t>
            </w:r>
            <w:r w:rsidRPr="004E68F1">
              <w:rPr>
                <w:color w:val="000000"/>
                <w:szCs w:val="21"/>
              </w:rPr>
              <w:t>清洗水池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设专用于拖把等清洁工具的清洗水池，水池应以明显标识标明其用途，其位置不会污染食品及其加工操作过程。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10.</w:t>
            </w:r>
            <w:r w:rsidRPr="004E68F1">
              <w:rPr>
                <w:color w:val="000000"/>
                <w:szCs w:val="21"/>
              </w:rPr>
              <w:t>工用具、容器清洗消毒保洁设施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根据工用具、容器的品种和数量，</w:t>
            </w:r>
            <w:r w:rsidRPr="004E68F1">
              <w:t>配备能正常运转的清洗、消毒、保洁设备设施。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采用洗碗机进行即食</w:t>
            </w:r>
            <w:proofErr w:type="gramStart"/>
            <w:r w:rsidRPr="004E68F1">
              <w:rPr>
                <w:szCs w:val="21"/>
              </w:rPr>
              <w:t>食品工</w:t>
            </w:r>
            <w:proofErr w:type="gramEnd"/>
            <w:r w:rsidRPr="004E68F1">
              <w:rPr>
                <w:szCs w:val="21"/>
              </w:rPr>
              <w:t>用具、容器清洗消毒，无法进入洗碗机的</w:t>
            </w:r>
            <w:proofErr w:type="gramStart"/>
            <w:r w:rsidRPr="004E68F1">
              <w:rPr>
                <w:szCs w:val="21"/>
              </w:rPr>
              <w:t>大型工</w:t>
            </w:r>
            <w:proofErr w:type="gramEnd"/>
            <w:r w:rsidRPr="004E68F1">
              <w:rPr>
                <w:szCs w:val="21"/>
              </w:rPr>
              <w:t>用具、容器应采用蒸汽等热力方式消毒，因材质等原因无法采用热力消毒的可采用化学消毒方式。采用化学消毒的，至少设有</w:t>
            </w:r>
            <w:r w:rsidRPr="004E68F1">
              <w:rPr>
                <w:szCs w:val="21"/>
              </w:rPr>
              <w:t>3</w:t>
            </w:r>
            <w:r w:rsidRPr="004E68F1">
              <w:rPr>
                <w:szCs w:val="21"/>
              </w:rPr>
              <w:t>个专用水池。采用蒸汽消</w:t>
            </w:r>
            <w:r w:rsidRPr="004E68F1">
              <w:t>毒的，可设置</w:t>
            </w:r>
            <w:r w:rsidRPr="004E68F1">
              <w:t>2</w:t>
            </w:r>
            <w:r w:rsidRPr="004E68F1">
              <w:t>个专用水池。各类水池应以明显标识标明其用途。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color w:val="FF0000"/>
                <w:szCs w:val="21"/>
              </w:rPr>
            </w:pPr>
            <w:r w:rsidRPr="004E68F1">
              <w:rPr>
                <w:szCs w:val="21"/>
              </w:rPr>
              <w:t>接触即食食品的工用具、容器的</w:t>
            </w:r>
            <w:r w:rsidRPr="004E68F1">
              <w:t>清洗消毒水池专用，与食品半成品、清洁用具及</w:t>
            </w:r>
            <w:proofErr w:type="gramStart"/>
            <w:r w:rsidRPr="004E68F1">
              <w:t>接触非</w:t>
            </w:r>
            <w:proofErr w:type="gramEnd"/>
            <w:r w:rsidRPr="004E68F1">
              <w:t>直接入口食品的工具、容器清洗水池分开。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</w:t>
            </w:r>
            <w:r w:rsidRPr="004E68F1"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t>工用具清洗消毒水池使用不锈钢或陶瓷等</w:t>
            </w:r>
            <w:proofErr w:type="gramStart"/>
            <w:r w:rsidRPr="004E68F1">
              <w:t>不</w:t>
            </w:r>
            <w:proofErr w:type="gramEnd"/>
            <w:r w:rsidRPr="004E68F1">
              <w:t>透水材料、不易积垢并易于清洗。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t>设专供存放消毒后工用具</w:t>
            </w:r>
            <w:r w:rsidRPr="004E68F1">
              <w:rPr>
                <w:color w:val="000000"/>
                <w:szCs w:val="21"/>
              </w:rPr>
              <w:t>、容器</w:t>
            </w:r>
            <w:r w:rsidRPr="004E68F1">
              <w:t>的保洁设施，标记明显，结构密闭并易于清洁。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t>***</w:t>
            </w:r>
          </w:p>
        </w:tc>
      </w:tr>
      <w:tr w:rsidR="003C349E" w:rsidRPr="004E68F1" w:rsidTr="00025FB6">
        <w:trPr>
          <w:cantSplit/>
          <w:trHeight w:val="327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t>清洗、消毒、保洁设备设施的大小和数量能满足需要。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 w:val="18"/>
                <w:szCs w:val="18"/>
              </w:rPr>
            </w:pPr>
            <w:r w:rsidRPr="004E68F1">
              <w:rPr>
                <w:color w:val="000000"/>
                <w:szCs w:val="21"/>
              </w:rPr>
              <w:t>11.</w:t>
            </w:r>
            <w:r w:rsidRPr="004E68F1">
              <w:rPr>
                <w:color w:val="000000"/>
                <w:szCs w:val="21"/>
              </w:rPr>
              <w:t>洗手消毒设施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设置洗手设施，其位置在方便从业人员的区域。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洗手消毒设施附近设有相应的清洗、消毒用品和干手设施。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洗手</w:t>
            </w:r>
            <w:proofErr w:type="gramStart"/>
            <w:r w:rsidRPr="004E68F1">
              <w:rPr>
                <w:szCs w:val="21"/>
              </w:rPr>
              <w:t>池使用</w:t>
            </w:r>
            <w:proofErr w:type="gramEnd"/>
            <w:r w:rsidRPr="004E68F1">
              <w:rPr>
                <w:szCs w:val="21"/>
              </w:rPr>
              <w:t>不锈钢或陶瓷等</w:t>
            </w:r>
            <w:proofErr w:type="gramStart"/>
            <w:r w:rsidRPr="004E68F1">
              <w:rPr>
                <w:szCs w:val="21"/>
              </w:rPr>
              <w:t>不</w:t>
            </w:r>
            <w:proofErr w:type="gramEnd"/>
            <w:r w:rsidRPr="004E68F1">
              <w:rPr>
                <w:szCs w:val="21"/>
              </w:rPr>
              <w:t>透水材料，结构不易积垢并易于清洗。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洗手消毒设施附近有洗手消毒方法标识。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12.</w:t>
            </w:r>
            <w:r w:rsidRPr="004E68F1">
              <w:rPr>
                <w:color w:val="000000"/>
                <w:szCs w:val="21"/>
              </w:rPr>
              <w:t>分装专间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r w:rsidRPr="004E68F1">
              <w:t>专间内无明沟，地漏带水封，专间墙裙铺设到顶。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tabs>
                <w:tab w:val="left" w:pos="6945"/>
              </w:tabs>
            </w:pPr>
            <w:r w:rsidRPr="004E68F1">
              <w:t>专间只设一扇门，采用易清洗、</w:t>
            </w:r>
            <w:proofErr w:type="gramStart"/>
            <w:r w:rsidRPr="004E68F1">
              <w:t>不</w:t>
            </w:r>
            <w:proofErr w:type="gramEnd"/>
            <w:r w:rsidRPr="004E68F1">
              <w:t>吸水的坚固材质，能够自动关闭。食品传递窗为开闭式，其他窗封闭。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r w:rsidRPr="004E68F1">
              <w:t>专间内设有独立温度控制的空调设施、温度显示装置、空气消毒设施（如紫外线灯）、流动水源、工具清洗消毒水池。需要直接接触成品的用水，应加装净水设施。以紫外线灯作为空气消毒装置的，紫外线灯（波长</w:t>
            </w:r>
            <w:r w:rsidRPr="004E68F1">
              <w:t>200-275nm</w:t>
            </w:r>
            <w:r w:rsidRPr="004E68F1">
              <w:t>）应按功率</w:t>
            </w:r>
            <w:r w:rsidRPr="004E68F1">
              <w:t>≥1.5W/m</w:t>
            </w:r>
            <w:r w:rsidRPr="004E68F1">
              <w:rPr>
                <w:vertAlign w:val="superscript"/>
              </w:rPr>
              <w:t>3</w:t>
            </w:r>
            <w:r w:rsidRPr="004E68F1">
              <w:t>设置，专间内紫外线灯分布均匀，距离地面</w:t>
            </w:r>
            <w:r w:rsidRPr="004E68F1">
              <w:t>2m</w:t>
            </w:r>
            <w:r w:rsidRPr="004E68F1">
              <w:t>以内。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t>专间入口处设置有洗手、消毒、更衣设施的通过</w:t>
            </w:r>
            <w:proofErr w:type="gramStart"/>
            <w:r w:rsidRPr="004E68F1">
              <w:t>式预进</w:t>
            </w:r>
            <w:proofErr w:type="gramEnd"/>
            <w:r w:rsidRPr="004E68F1">
              <w:t>间，洗手消毒设施</w:t>
            </w:r>
            <w:r w:rsidRPr="004E68F1">
              <w:rPr>
                <w:kern w:val="0"/>
                <w:szCs w:val="21"/>
              </w:rPr>
              <w:t>除</w:t>
            </w:r>
            <w:r w:rsidRPr="004E68F1">
              <w:t>符合本表</w:t>
            </w:r>
            <w:r w:rsidRPr="004E68F1">
              <w:t>“</w:t>
            </w:r>
            <w:r w:rsidRPr="004E68F1">
              <w:rPr>
                <w:color w:val="000000"/>
                <w:szCs w:val="21"/>
              </w:rPr>
              <w:t>11.</w:t>
            </w:r>
            <w:r w:rsidRPr="004E68F1">
              <w:rPr>
                <w:color w:val="000000"/>
                <w:szCs w:val="21"/>
              </w:rPr>
              <w:t>洗手消毒设施</w:t>
            </w:r>
            <w:r w:rsidRPr="004E68F1">
              <w:t>”</w:t>
            </w:r>
            <w:r w:rsidRPr="004E68F1">
              <w:t>的规定</w:t>
            </w:r>
            <w:r w:rsidRPr="004E68F1">
              <w:rPr>
                <w:kern w:val="0"/>
                <w:szCs w:val="21"/>
              </w:rPr>
              <w:t>外，还应当为非手触动式</w:t>
            </w:r>
            <w:r w:rsidRPr="004E68F1">
              <w:t>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r w:rsidRPr="004E68F1"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r w:rsidRPr="004E68F1">
              <w:rPr>
                <w:szCs w:val="21"/>
              </w:rPr>
              <w:t>专间内使用一次性包装材料的，应设置脱包传递窗口。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r w:rsidRPr="004E68F1">
              <w:rPr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13.</w:t>
            </w:r>
            <w:r w:rsidRPr="004E68F1">
              <w:rPr>
                <w:color w:val="000000"/>
                <w:szCs w:val="21"/>
              </w:rPr>
              <w:t>库房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食品和非食品（不会导致食品污染的食品容器、包装材料、工用具等物品除外）库房分开设置，并按食品种类分别设立冷藏库、冷冻库和常温库房，各类库房的容量应当满足生产加工数量的需要。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t>冷藏、冷冻柜（库）数量和结构能使原料、半成品和成品分开存放，有明显区分标识。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库房内应设置数量足够的物品存放货架，能使贮存的食品隔墙离地存放。配备可对不同物品、每次进货和使用情况及存量等进行标示的标识。</w:t>
            </w:r>
            <w:r w:rsidRPr="004E68F1">
              <w:t>除冷库外的库房有良好的通风、防潮、防鼠（如设防鼠板或木质门下方以金属包覆）设施。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冷（冻）藏</w:t>
            </w:r>
            <w:proofErr w:type="gramStart"/>
            <w:r w:rsidRPr="004E68F1">
              <w:rPr>
                <w:szCs w:val="21"/>
              </w:rPr>
              <w:t>库设可</w:t>
            </w:r>
            <w:proofErr w:type="gramEnd"/>
            <w:r w:rsidRPr="004E68F1">
              <w:rPr>
                <w:szCs w:val="21"/>
              </w:rPr>
              <w:t>正确指示库内温度的温度指示装置。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14.</w:t>
            </w:r>
            <w:r w:rsidRPr="004E68F1">
              <w:rPr>
                <w:color w:val="000000"/>
                <w:szCs w:val="21"/>
              </w:rPr>
              <w:t>通风排烟温控设施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热加工场所采用机械排风。产生油烟或大量蒸汽的设备上部，加设附有机械排风及油烟过滤的排气装置，过滤器便于清洗和更换。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排气口网眼孔径小于</w:t>
            </w:r>
            <w:r w:rsidRPr="004E68F1">
              <w:rPr>
                <w:szCs w:val="21"/>
              </w:rPr>
              <w:t>6mm</w:t>
            </w:r>
            <w:r w:rsidRPr="004E68F1">
              <w:rPr>
                <w:szCs w:val="21"/>
              </w:rPr>
              <w:t>的金属隔栅或网罩，纱网或网罩便于装卸和清洗。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加工畜禽肉、水产品等易腐食品原料的场所配备空调等温度控制装置。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</w:t>
            </w:r>
            <w:r w:rsidRPr="004E68F1">
              <w:rPr>
                <w:kern w:val="0"/>
                <w:szCs w:val="21"/>
              </w:rPr>
              <w:t>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15.</w:t>
            </w:r>
            <w:r w:rsidRPr="004E68F1">
              <w:rPr>
                <w:color w:val="000000"/>
                <w:szCs w:val="21"/>
              </w:rPr>
              <w:t>采光照明设施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color w:val="FF0000"/>
                <w:szCs w:val="21"/>
              </w:rPr>
            </w:pPr>
            <w:r w:rsidRPr="004E68F1">
              <w:rPr>
                <w:szCs w:val="21"/>
              </w:rPr>
              <w:t>加工场所有充足的自然采光或人工照明，加工场所工作面高于</w:t>
            </w:r>
            <w:r w:rsidRPr="004E68F1">
              <w:rPr>
                <w:szCs w:val="21"/>
              </w:rPr>
              <w:t>220lux</w:t>
            </w:r>
            <w:r w:rsidRPr="004E68F1">
              <w:rPr>
                <w:szCs w:val="21"/>
              </w:rPr>
              <w:t>，其它场所高于</w:t>
            </w:r>
            <w:r w:rsidRPr="004E68F1">
              <w:rPr>
                <w:szCs w:val="21"/>
              </w:rPr>
              <w:t>110lux</w:t>
            </w:r>
            <w:r w:rsidRPr="004E68F1">
              <w:rPr>
                <w:szCs w:val="21"/>
              </w:rPr>
              <w:t>，光源不改变所观察食品的天然颜色。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安装在食品暴露正上方的照明设施使用防护罩。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16.</w:t>
            </w:r>
            <w:r w:rsidRPr="004E68F1">
              <w:rPr>
                <w:color w:val="000000"/>
                <w:szCs w:val="21"/>
              </w:rPr>
              <w:t>厕所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食品加工场所内不应设置厕所。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t>员工使用的厕所应采用水冲式，地面、墙壁、便槽等采用</w:t>
            </w:r>
            <w:proofErr w:type="gramStart"/>
            <w:r w:rsidRPr="004E68F1">
              <w:t>不</w:t>
            </w:r>
            <w:proofErr w:type="gramEnd"/>
            <w:r w:rsidRPr="004E68F1">
              <w:t>透水、易清洗、不易积垢的材料，</w:t>
            </w:r>
            <w:proofErr w:type="gramStart"/>
            <w:r w:rsidRPr="004E68F1">
              <w:t>设有效</w:t>
            </w:r>
            <w:proofErr w:type="gramEnd"/>
            <w:r w:rsidRPr="004E68F1">
              <w:t>排气装置，有适当照明，与外界相通的窗户设置纱窗，或为封闭式，外门能自动关闭，在出口附近设置洗手设施。</w:t>
            </w:r>
            <w:r w:rsidRPr="004E68F1">
              <w:rPr>
                <w:szCs w:val="21"/>
              </w:rPr>
              <w:t>厕所排污管道与食品加工经营场所的排水管道分设，并有可靠的防臭气水封。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t>员工使用</w:t>
            </w:r>
            <w:r w:rsidRPr="004E68F1">
              <w:rPr>
                <w:szCs w:val="21"/>
              </w:rPr>
              <w:t>厕所内的洗手设施符合本表</w:t>
            </w:r>
            <w:r w:rsidRPr="004E68F1">
              <w:rPr>
                <w:szCs w:val="21"/>
              </w:rPr>
              <w:t>“</w:t>
            </w:r>
            <w:r w:rsidRPr="004E68F1">
              <w:rPr>
                <w:color w:val="000000"/>
                <w:szCs w:val="21"/>
              </w:rPr>
              <w:t>11.</w:t>
            </w:r>
            <w:r w:rsidRPr="004E68F1">
              <w:rPr>
                <w:color w:val="000000"/>
                <w:szCs w:val="21"/>
              </w:rPr>
              <w:t>洗手消毒设施</w:t>
            </w:r>
            <w:r w:rsidRPr="004E68F1">
              <w:rPr>
                <w:szCs w:val="21"/>
              </w:rPr>
              <w:t>”</w:t>
            </w:r>
            <w:r w:rsidRPr="004E68F1">
              <w:rPr>
                <w:szCs w:val="21"/>
              </w:rPr>
              <w:t>的规定。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17.</w:t>
            </w:r>
            <w:r w:rsidRPr="004E68F1">
              <w:rPr>
                <w:color w:val="000000"/>
                <w:szCs w:val="21"/>
              </w:rPr>
              <w:t>更衣场所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更衣场所应与食品加工场所处于同一建筑物内，有适当的照明。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18.</w:t>
            </w:r>
            <w:r w:rsidRPr="004E68F1">
              <w:rPr>
                <w:color w:val="000000"/>
                <w:szCs w:val="21"/>
              </w:rPr>
              <w:t>废弃物暂存设施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color w:val="FF0000"/>
                <w:szCs w:val="21"/>
              </w:rPr>
            </w:pPr>
            <w:r w:rsidRPr="004E68F1">
              <w:rPr>
                <w:szCs w:val="21"/>
              </w:rPr>
              <w:t>设有存放垃圾和废弃物的容器。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存放垃圾和废弃物的容器配有盖子，并用坚固及</w:t>
            </w:r>
            <w:proofErr w:type="gramStart"/>
            <w:r w:rsidRPr="004E68F1">
              <w:rPr>
                <w:szCs w:val="21"/>
              </w:rPr>
              <w:t>不</w:t>
            </w:r>
            <w:proofErr w:type="gramEnd"/>
            <w:r w:rsidRPr="004E68F1">
              <w:rPr>
                <w:szCs w:val="21"/>
              </w:rPr>
              <w:t>透水的材料制成，内壁光滑便于清洗。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t>安装符合要求的油水分离器。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19.</w:t>
            </w:r>
            <w:r w:rsidRPr="004E68F1">
              <w:rPr>
                <w:color w:val="000000"/>
                <w:szCs w:val="21"/>
              </w:rPr>
              <w:t>设备、工具和容器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t>接触食品的设备、工具、容器、包装材料等符合食品安全标准或要求。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kern w:val="0"/>
              </w:rPr>
              <w:t>接触食品的设备、工具和容器易于清洗消毒。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kern w:val="0"/>
              </w:rPr>
              <w:t>所有食品设备、工具和容器不使用木质材料，因工艺要求必须使用除外。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食品容器、工具和设备与食品的接触面平滑、无凹陷或裂缝。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各类设施设备应坚固耐用，无明显破损、锈蚀、积垢。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kern w:val="0"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t>用于半成品、成品的工具、用具和容器，有明显的区分标识，存放区域分开设置，标识明显。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  <w:r w:rsidRPr="004E68F1">
              <w:rPr>
                <w:color w:val="000000"/>
                <w:szCs w:val="21"/>
              </w:rPr>
              <w:t>21.</w:t>
            </w:r>
            <w:r w:rsidRPr="004E68F1">
              <w:rPr>
                <w:color w:val="000000"/>
                <w:szCs w:val="21"/>
              </w:rPr>
              <w:t>食品检验和留样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应设置检验室（连锁企业可设中心检验室，配备门店样品冷链传送等设施）</w:t>
            </w:r>
            <w:r w:rsidRPr="004E68F1">
              <w:rPr>
                <w:kern w:val="0"/>
                <w:szCs w:val="21"/>
              </w:rPr>
              <w:t>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/>
                <w:bCs/>
                <w:color w:val="FF0000"/>
                <w:szCs w:val="21"/>
              </w:rPr>
            </w:pPr>
            <w:r w:rsidRPr="004E68F1">
              <w:rPr>
                <w:kern w:val="0"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/>
                <w:szCs w:val="21"/>
              </w:rPr>
            </w:pPr>
            <w:r w:rsidRPr="004E68F1">
              <w:rPr>
                <w:kern w:val="0"/>
                <w:szCs w:val="21"/>
              </w:rPr>
              <w:t>设有配备准备间、缓冲间、洁净实验室的无菌检验室。布局采用单方向工作流程，避免交叉污染。洁净实验室面积不小于</w:t>
            </w:r>
            <w:r w:rsidRPr="004E68F1">
              <w:rPr>
                <w:kern w:val="0"/>
                <w:szCs w:val="21"/>
              </w:rPr>
              <w:t>4m</w:t>
            </w:r>
            <w:r w:rsidRPr="004E68F1">
              <w:rPr>
                <w:kern w:val="0"/>
                <w:szCs w:val="21"/>
                <w:vertAlign w:val="superscript"/>
              </w:rPr>
              <w:t>2</w:t>
            </w:r>
            <w:r w:rsidRPr="004E68F1">
              <w:rPr>
                <w:kern w:val="0"/>
                <w:szCs w:val="21"/>
              </w:rPr>
              <w:t>，具备适当的通风和温度调节设施。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/>
                <w:szCs w:val="21"/>
              </w:rPr>
            </w:pPr>
            <w:r w:rsidRPr="004E68F1">
              <w:rPr>
                <w:kern w:val="0"/>
                <w:szCs w:val="21"/>
              </w:rPr>
              <w:t>检验室应配备与检验项目相适应的检验设施、设备和检验人员。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  <w:proofErr w:type="gramStart"/>
            <w:r w:rsidRPr="004E68F1">
              <w:rPr>
                <w:szCs w:val="21"/>
              </w:rPr>
              <w:t>门店应配备</w:t>
            </w:r>
            <w:proofErr w:type="gramEnd"/>
            <w:r w:rsidRPr="004E68F1">
              <w:rPr>
                <w:szCs w:val="21"/>
              </w:rPr>
              <w:t>食品中心温度计和食品接触表面洁净度检测设备。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proofErr w:type="gramStart"/>
            <w:r w:rsidRPr="004E68F1">
              <w:rPr>
                <w:szCs w:val="21"/>
              </w:rPr>
              <w:t>门店应配备</w:t>
            </w:r>
            <w:proofErr w:type="gramEnd"/>
            <w:r w:rsidRPr="004E68F1">
              <w:rPr>
                <w:szCs w:val="21"/>
              </w:rPr>
              <w:t>留样专用容器和冷藏设施。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kern w:val="0"/>
                <w:szCs w:val="21"/>
              </w:rPr>
            </w:pPr>
            <w:r w:rsidRPr="004E68F1">
              <w:rPr>
                <w:color w:val="000000"/>
                <w:szCs w:val="21"/>
              </w:rPr>
              <w:lastRenderedPageBreak/>
              <w:t>25.</w:t>
            </w:r>
            <w:r w:rsidRPr="004E68F1">
              <w:rPr>
                <w:color w:val="000000"/>
                <w:szCs w:val="21"/>
              </w:rPr>
              <w:t>膳食</w:t>
            </w:r>
            <w:r w:rsidRPr="004E68F1">
              <w:rPr>
                <w:kern w:val="0"/>
                <w:szCs w:val="21"/>
              </w:rPr>
              <w:t>加热设施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color w:val="000000"/>
                <w:szCs w:val="21"/>
              </w:rPr>
              <w:t>配备烹饪后膳食加热和分装后盒饭加热的设施。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26.</w:t>
            </w:r>
            <w:r w:rsidRPr="004E68F1">
              <w:rPr>
                <w:szCs w:val="21"/>
              </w:rPr>
              <w:t>膳食包装等设施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szCs w:val="21"/>
              </w:rPr>
            </w:pPr>
            <w:r w:rsidRPr="004E68F1">
              <w:rPr>
                <w:szCs w:val="21"/>
              </w:rPr>
              <w:t>配备膳食密封包装以及标注加工日期和时间的设施。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bCs/>
                <w:szCs w:val="21"/>
              </w:rPr>
            </w:pPr>
            <w:r w:rsidRPr="004E68F1">
              <w:rPr>
                <w:bCs/>
                <w:szCs w:val="21"/>
              </w:rPr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kern w:val="0"/>
              </w:rPr>
            </w:pPr>
            <w:r w:rsidRPr="004E68F1">
              <w:rPr>
                <w:kern w:val="0"/>
              </w:rPr>
              <w:t>27.</w:t>
            </w:r>
            <w:r w:rsidRPr="004E68F1">
              <w:rPr>
                <w:kern w:val="0"/>
              </w:rPr>
              <w:t>送餐设施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r w:rsidRPr="004E68F1">
              <w:t>自行送餐的，应配备能够防止灰尘、雨水等污染，材质便于清洁，保温性能良好的送餐箱（包）。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r w:rsidRPr="004E68F1"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pPr>
              <w:rPr>
                <w:kern w:val="0"/>
              </w:rPr>
            </w:pPr>
            <w:r w:rsidRPr="004E68F1">
              <w:rPr>
                <w:kern w:val="0"/>
              </w:rPr>
              <w:t>28.</w:t>
            </w:r>
            <w:r w:rsidRPr="004E68F1">
              <w:rPr>
                <w:szCs w:val="21"/>
              </w:rPr>
              <w:t>视频监控设施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r w:rsidRPr="004E68F1">
              <w:rPr>
                <w:szCs w:val="21"/>
              </w:rPr>
              <w:t>各操作间和检验室安装视频监控和录制设备。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r w:rsidRPr="004E68F1">
              <w:t>***</w:t>
            </w:r>
          </w:p>
        </w:tc>
      </w:tr>
      <w:tr w:rsidR="003C349E" w:rsidRPr="004E68F1" w:rsidTr="00025FB6">
        <w:trPr>
          <w:cantSplit/>
          <w:trHeight w:val="20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pPr>
              <w:rPr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349E" w:rsidRPr="00FC43A6" w:rsidRDefault="003C349E" w:rsidP="003C349E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49E" w:rsidRPr="004E68F1" w:rsidRDefault="003C349E" w:rsidP="00025FB6">
            <w:r w:rsidRPr="004E68F1">
              <w:rPr>
                <w:szCs w:val="21"/>
              </w:rPr>
              <w:t>监控视频可供监管部门、用餐单位实时查看。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E" w:rsidRPr="004E68F1" w:rsidRDefault="003C349E" w:rsidP="00025FB6">
            <w:r w:rsidRPr="004E68F1">
              <w:t>*</w:t>
            </w:r>
          </w:p>
        </w:tc>
      </w:tr>
    </w:tbl>
    <w:p w:rsidR="003C349E" w:rsidRPr="004E68F1" w:rsidRDefault="003C349E" w:rsidP="003C349E">
      <w:r w:rsidRPr="004E68F1">
        <w:t>注：</w:t>
      </w:r>
    </w:p>
    <w:p w:rsidR="003C349E" w:rsidRPr="004E68F1" w:rsidRDefault="003C349E" w:rsidP="003C349E">
      <w:r w:rsidRPr="004E68F1">
        <w:t>1</w:t>
      </w:r>
      <w:r w:rsidRPr="004E68F1">
        <w:t>、具体要求的重要性：</w:t>
      </w:r>
      <w:r w:rsidRPr="004E68F1">
        <w:rPr>
          <w:szCs w:val="21"/>
        </w:rPr>
        <w:t>***</w:t>
      </w:r>
      <w:r w:rsidRPr="004E68F1">
        <w:rPr>
          <w:szCs w:val="21"/>
        </w:rPr>
        <w:t>为关键项，</w:t>
      </w:r>
      <w:r w:rsidRPr="004E68F1">
        <w:rPr>
          <w:szCs w:val="21"/>
        </w:rPr>
        <w:t>**</w:t>
      </w:r>
      <w:r w:rsidRPr="004E68F1">
        <w:rPr>
          <w:szCs w:val="21"/>
        </w:rPr>
        <w:t>为重点项，</w:t>
      </w:r>
      <w:r w:rsidRPr="004E68F1">
        <w:rPr>
          <w:szCs w:val="21"/>
        </w:rPr>
        <w:t>*</w:t>
      </w:r>
      <w:r w:rsidRPr="004E68F1">
        <w:rPr>
          <w:szCs w:val="21"/>
        </w:rPr>
        <w:t>为一般项。</w:t>
      </w:r>
    </w:p>
    <w:p w:rsidR="003C349E" w:rsidRPr="004E68F1" w:rsidRDefault="003C349E" w:rsidP="003C349E">
      <w:r w:rsidRPr="004E68F1">
        <w:t>2</w:t>
      </w:r>
      <w:r w:rsidRPr="004E68F1">
        <w:t>、判定基本符合：不符合项</w:t>
      </w:r>
      <w:r w:rsidRPr="004E68F1">
        <w:t>≤5</w:t>
      </w:r>
      <w:r w:rsidRPr="004E68F1">
        <w:t>项，其中重点项不符合</w:t>
      </w:r>
      <w:r w:rsidRPr="004E68F1">
        <w:t>≤1</w:t>
      </w:r>
      <w:r w:rsidRPr="004E68F1">
        <w:t>项，关键项全部符合。</w:t>
      </w:r>
    </w:p>
    <w:p w:rsidR="003C349E" w:rsidRPr="0012446D" w:rsidRDefault="003C349E" w:rsidP="003C349E">
      <w:pPr>
        <w:spacing w:line="360" w:lineRule="exact"/>
        <w:ind w:rightChars="37" w:right="78"/>
        <w:rPr>
          <w:rFonts w:ascii="仿宋_GB2312" w:eastAsia="仿宋_GB2312" w:hint="eastAsia"/>
          <w:color w:val="000000"/>
          <w:sz w:val="28"/>
          <w:szCs w:val="28"/>
        </w:rPr>
      </w:pPr>
    </w:p>
    <w:p w:rsidR="00A53413" w:rsidRDefault="00A53413">
      <w:bookmarkStart w:id="0" w:name="_GoBack"/>
      <w:bookmarkEnd w:id="0"/>
    </w:p>
    <w:sectPr w:rsidR="00A53413" w:rsidSect="00FC43A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3F91"/>
    <w:multiLevelType w:val="multilevel"/>
    <w:tmpl w:val="338C3F9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9E"/>
    <w:rsid w:val="003C349E"/>
    <w:rsid w:val="009345D6"/>
    <w:rsid w:val="00A53413"/>
    <w:rsid w:val="00B161E8"/>
    <w:rsid w:val="00D3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unhideWhenUsed="1"/>
    <w:lsdException w:name="footer" w:semiHidden="1" w:unhideWhenUsed="1"/>
    <w:lsdException w:name="caption" w:locked="1" w:semiHidden="1" w:unhideWhenUsed="1" w:qFormat="1"/>
    <w:lsdException w:name="Title" w:locked="1" w:qFormat="1"/>
    <w:lsdException w:name="Default Paragraph Font" w:semiHidden="1" w:unhideWhenUsed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49E"/>
    <w:pPr>
      <w:widowControl w:val="0"/>
      <w:jc w:val="both"/>
    </w:pPr>
    <w:rPr>
      <w:rFonts w:ascii="Times New Roman" w:hAnsi="Times New Roman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3C349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link w:val="1Char"/>
    <w:qFormat/>
    <w:rsid w:val="009345D6"/>
    <w:rPr>
      <w:rFonts w:cstheme="minorBidi"/>
      <w:bCs/>
    </w:rPr>
  </w:style>
  <w:style w:type="character" w:customStyle="1" w:styleId="1Char">
    <w:name w:val="样式1 Char"/>
    <w:link w:val="1"/>
    <w:rsid w:val="009345D6"/>
    <w:rPr>
      <w:rFonts w:ascii="宋体" w:hAnsi="宋体"/>
      <w:bCs/>
      <w:color w:val="000000"/>
      <w:kern w:val="0"/>
      <w:sz w:val="24"/>
      <w:szCs w:val="24"/>
    </w:rPr>
  </w:style>
  <w:style w:type="paragraph" w:styleId="a3">
    <w:name w:val="Normal (Web)"/>
    <w:basedOn w:val="a"/>
    <w:rsid w:val="00B161E8"/>
    <w:rPr>
      <w:sz w:val="24"/>
    </w:rPr>
  </w:style>
  <w:style w:type="paragraph" w:styleId="a4">
    <w:name w:val="header"/>
    <w:basedOn w:val="a"/>
    <w:link w:val="Char"/>
    <w:rsid w:val="00B1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61E8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rsid w:val="00B1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61E8"/>
    <w:rPr>
      <w:rFonts w:ascii="Calibri" w:hAnsi="Calibri"/>
      <w:sz w:val="18"/>
      <w:szCs w:val="18"/>
    </w:rPr>
  </w:style>
  <w:style w:type="character" w:styleId="a6">
    <w:name w:val="page number"/>
    <w:basedOn w:val="a0"/>
    <w:rsid w:val="00B161E8"/>
  </w:style>
  <w:style w:type="paragraph" w:styleId="a7">
    <w:name w:val="Date"/>
    <w:basedOn w:val="a"/>
    <w:next w:val="a"/>
    <w:link w:val="Char1"/>
    <w:rsid w:val="00B161E8"/>
    <w:pPr>
      <w:ind w:leftChars="2500" w:left="100"/>
    </w:pPr>
  </w:style>
  <w:style w:type="character" w:customStyle="1" w:styleId="Char1">
    <w:name w:val="日期 Char"/>
    <w:basedOn w:val="a0"/>
    <w:link w:val="a7"/>
    <w:rsid w:val="00B161E8"/>
    <w:rPr>
      <w:rFonts w:ascii="Calibri" w:hAnsi="Calibri"/>
      <w:sz w:val="21"/>
      <w:szCs w:val="22"/>
    </w:rPr>
  </w:style>
  <w:style w:type="character" w:styleId="a8">
    <w:name w:val="Hyperlink"/>
    <w:rsid w:val="00B161E8"/>
    <w:rPr>
      <w:color w:val="0000FF" w:themeColor="hyperlink"/>
      <w:u w:val="single"/>
    </w:rPr>
  </w:style>
  <w:style w:type="paragraph" w:styleId="a9">
    <w:name w:val="Balloon Text"/>
    <w:basedOn w:val="a"/>
    <w:link w:val="Char2"/>
    <w:semiHidden/>
    <w:rsid w:val="00B161E8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B161E8"/>
    <w:rPr>
      <w:rFonts w:ascii="Calibri" w:hAnsi="Calibri"/>
      <w:sz w:val="18"/>
      <w:szCs w:val="18"/>
    </w:rPr>
  </w:style>
  <w:style w:type="table" w:styleId="aa">
    <w:name w:val="Table Grid"/>
    <w:basedOn w:val="a1"/>
    <w:rsid w:val="00B161E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3C349E"/>
    <w:rPr>
      <w:rFonts w:ascii="Cambria" w:hAnsi="Cambria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3C349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unhideWhenUsed="1"/>
    <w:lsdException w:name="footer" w:semiHidden="1" w:unhideWhenUsed="1"/>
    <w:lsdException w:name="caption" w:locked="1" w:semiHidden="1" w:unhideWhenUsed="1" w:qFormat="1"/>
    <w:lsdException w:name="Title" w:locked="1" w:qFormat="1"/>
    <w:lsdException w:name="Default Paragraph Font" w:semiHidden="1" w:unhideWhenUsed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49E"/>
    <w:pPr>
      <w:widowControl w:val="0"/>
      <w:jc w:val="both"/>
    </w:pPr>
    <w:rPr>
      <w:rFonts w:ascii="Times New Roman" w:hAnsi="Times New Roman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3C349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link w:val="1Char"/>
    <w:qFormat/>
    <w:rsid w:val="009345D6"/>
    <w:rPr>
      <w:rFonts w:cstheme="minorBidi"/>
      <w:bCs/>
    </w:rPr>
  </w:style>
  <w:style w:type="character" w:customStyle="1" w:styleId="1Char">
    <w:name w:val="样式1 Char"/>
    <w:link w:val="1"/>
    <w:rsid w:val="009345D6"/>
    <w:rPr>
      <w:rFonts w:ascii="宋体" w:hAnsi="宋体"/>
      <w:bCs/>
      <w:color w:val="000000"/>
      <w:kern w:val="0"/>
      <w:sz w:val="24"/>
      <w:szCs w:val="24"/>
    </w:rPr>
  </w:style>
  <w:style w:type="paragraph" w:styleId="a3">
    <w:name w:val="Normal (Web)"/>
    <w:basedOn w:val="a"/>
    <w:rsid w:val="00B161E8"/>
    <w:rPr>
      <w:sz w:val="24"/>
    </w:rPr>
  </w:style>
  <w:style w:type="paragraph" w:styleId="a4">
    <w:name w:val="header"/>
    <w:basedOn w:val="a"/>
    <w:link w:val="Char"/>
    <w:rsid w:val="00B1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61E8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rsid w:val="00B1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61E8"/>
    <w:rPr>
      <w:rFonts w:ascii="Calibri" w:hAnsi="Calibri"/>
      <w:sz w:val="18"/>
      <w:szCs w:val="18"/>
    </w:rPr>
  </w:style>
  <w:style w:type="character" w:styleId="a6">
    <w:name w:val="page number"/>
    <w:basedOn w:val="a0"/>
    <w:rsid w:val="00B161E8"/>
  </w:style>
  <w:style w:type="paragraph" w:styleId="a7">
    <w:name w:val="Date"/>
    <w:basedOn w:val="a"/>
    <w:next w:val="a"/>
    <w:link w:val="Char1"/>
    <w:rsid w:val="00B161E8"/>
    <w:pPr>
      <w:ind w:leftChars="2500" w:left="100"/>
    </w:pPr>
  </w:style>
  <w:style w:type="character" w:customStyle="1" w:styleId="Char1">
    <w:name w:val="日期 Char"/>
    <w:basedOn w:val="a0"/>
    <w:link w:val="a7"/>
    <w:rsid w:val="00B161E8"/>
    <w:rPr>
      <w:rFonts w:ascii="Calibri" w:hAnsi="Calibri"/>
      <w:sz w:val="21"/>
      <w:szCs w:val="22"/>
    </w:rPr>
  </w:style>
  <w:style w:type="character" w:styleId="a8">
    <w:name w:val="Hyperlink"/>
    <w:rsid w:val="00B161E8"/>
    <w:rPr>
      <w:color w:val="0000FF" w:themeColor="hyperlink"/>
      <w:u w:val="single"/>
    </w:rPr>
  </w:style>
  <w:style w:type="paragraph" w:styleId="a9">
    <w:name w:val="Balloon Text"/>
    <w:basedOn w:val="a"/>
    <w:link w:val="Char2"/>
    <w:semiHidden/>
    <w:rsid w:val="00B161E8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B161E8"/>
    <w:rPr>
      <w:rFonts w:ascii="Calibri" w:hAnsi="Calibri"/>
      <w:sz w:val="18"/>
      <w:szCs w:val="18"/>
    </w:rPr>
  </w:style>
  <w:style w:type="table" w:styleId="aa">
    <w:name w:val="Table Grid"/>
    <w:basedOn w:val="a1"/>
    <w:rsid w:val="00B161E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3C349E"/>
    <w:rPr>
      <w:rFonts w:ascii="Cambria" w:hAnsi="Cambria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3C349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wuyanna</dc:creator>
  <cp:lastModifiedBy>wuyanna</cp:lastModifiedBy>
  <cp:revision>1</cp:revision>
  <dcterms:created xsi:type="dcterms:W3CDTF">2017-11-21T02:52:00Z</dcterms:created>
  <dcterms:modified xsi:type="dcterms:W3CDTF">2017-11-21T02:52:00Z</dcterms:modified>
</cp:coreProperties>
</file>