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ascii="宋体" w:hAnsi="宋体"/>
          <w:sz w:val="24"/>
          <w:szCs w:val="24"/>
        </w:rPr>
      </w:pPr>
      <w:r>
        <w:rPr>
          <w:rFonts w:hint="eastAsia" w:ascii="宋体" w:hAnsi="宋体"/>
          <w:sz w:val="24"/>
          <w:szCs w:val="24"/>
        </w:rPr>
        <w:t>附件</w:t>
      </w:r>
      <w:r>
        <w:rPr>
          <w:rFonts w:ascii="宋体" w:hAnsi="宋体"/>
          <w:sz w:val="24"/>
          <w:szCs w:val="24"/>
        </w:rPr>
        <w:t>2</w:t>
      </w:r>
    </w:p>
    <w:p>
      <w:pPr>
        <w:pStyle w:val="4"/>
        <w:spacing w:line="0" w:lineRule="atLeast"/>
        <w:jc w:val="center"/>
        <w:rPr>
          <w:rFonts w:hint="eastAsia" w:ascii="宋体" w:hAnsi="宋体"/>
          <w:snapToGrid w:val="0"/>
          <w:kern w:val="0"/>
          <w:sz w:val="36"/>
          <w:szCs w:val="36"/>
        </w:rPr>
      </w:pPr>
      <w:r>
        <w:rPr>
          <w:rFonts w:hint="eastAsia" w:ascii="宋体" w:hAnsi="宋体"/>
          <w:snapToGrid w:val="0"/>
          <w:kern w:val="0"/>
          <w:sz w:val="36"/>
          <w:szCs w:val="36"/>
        </w:rPr>
        <w:t>深圳市</w:t>
      </w:r>
      <w:r>
        <w:rPr>
          <w:rFonts w:ascii="宋体" w:hAnsi="宋体"/>
          <w:snapToGrid w:val="0"/>
          <w:kern w:val="0"/>
          <w:sz w:val="36"/>
          <w:szCs w:val="36"/>
        </w:rPr>
        <w:t>2021</w:t>
      </w:r>
      <w:r>
        <w:rPr>
          <w:rFonts w:hint="eastAsia" w:ascii="宋体" w:hAnsi="宋体"/>
          <w:snapToGrid w:val="0"/>
          <w:kern w:val="0"/>
          <w:sz w:val="36"/>
          <w:szCs w:val="36"/>
        </w:rPr>
        <w:t>年起高中阶段学校录取</w:t>
      </w:r>
    </w:p>
    <w:p>
      <w:pPr>
        <w:pStyle w:val="4"/>
        <w:spacing w:after="156" w:afterLines="50" w:line="0" w:lineRule="atLeast"/>
        <w:jc w:val="center"/>
        <w:rPr>
          <w:rFonts w:ascii="宋体" w:hAnsi="宋体"/>
          <w:snapToGrid w:val="0"/>
          <w:kern w:val="0"/>
          <w:sz w:val="36"/>
          <w:szCs w:val="36"/>
        </w:rPr>
      </w:pPr>
      <w:r>
        <w:rPr>
          <w:rFonts w:hint="eastAsia" w:ascii="宋体" w:hAnsi="宋体"/>
          <w:snapToGrid w:val="0"/>
          <w:kern w:val="0"/>
          <w:sz w:val="36"/>
          <w:szCs w:val="36"/>
        </w:rPr>
        <w:t>参考依据科目与评价方式</w:t>
      </w:r>
    </w:p>
    <w:tbl>
      <w:tblPr>
        <w:tblStyle w:val="3"/>
        <w:tblW w:w="90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3"/>
        <w:gridCol w:w="1980"/>
        <w:gridCol w:w="1440"/>
        <w:gridCol w:w="32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2403" w:type="dxa"/>
            <w:noWrap w:val="0"/>
            <w:vAlign w:val="center"/>
          </w:tcPr>
          <w:p>
            <w:pPr>
              <w:adjustRightInd w:val="0"/>
              <w:snapToGrid w:val="0"/>
              <w:spacing w:line="280" w:lineRule="exact"/>
              <w:jc w:val="center"/>
              <w:rPr>
                <w:rFonts w:hint="eastAsia" w:ascii="黑体" w:hAnsi="宋体" w:eastAsia="黑体"/>
                <w:szCs w:val="21"/>
              </w:rPr>
            </w:pPr>
            <w:r>
              <w:rPr>
                <w:rFonts w:hint="eastAsia" w:ascii="黑体" w:hAnsi="宋体" w:eastAsia="黑体"/>
                <w:szCs w:val="21"/>
              </w:rPr>
              <w:t>科目</w:t>
            </w:r>
          </w:p>
        </w:tc>
        <w:tc>
          <w:tcPr>
            <w:tcW w:w="1980" w:type="dxa"/>
            <w:noWrap w:val="0"/>
            <w:vAlign w:val="center"/>
          </w:tcPr>
          <w:p>
            <w:pPr>
              <w:adjustRightInd w:val="0"/>
              <w:snapToGrid w:val="0"/>
              <w:spacing w:line="280" w:lineRule="exact"/>
              <w:jc w:val="center"/>
              <w:rPr>
                <w:rFonts w:hint="eastAsia" w:ascii="黑体" w:hAnsi="宋体" w:eastAsia="黑体"/>
                <w:szCs w:val="21"/>
              </w:rPr>
            </w:pPr>
            <w:r>
              <w:rPr>
                <w:rFonts w:hint="eastAsia" w:ascii="黑体" w:hAnsi="宋体" w:eastAsia="黑体"/>
                <w:szCs w:val="21"/>
              </w:rPr>
              <w:t>卷面分值（满分）</w:t>
            </w:r>
          </w:p>
        </w:tc>
        <w:tc>
          <w:tcPr>
            <w:tcW w:w="1440" w:type="dxa"/>
            <w:noWrap w:val="0"/>
            <w:vAlign w:val="center"/>
          </w:tcPr>
          <w:p>
            <w:pPr>
              <w:adjustRightInd w:val="0"/>
              <w:snapToGrid w:val="0"/>
              <w:spacing w:line="280" w:lineRule="exact"/>
              <w:jc w:val="center"/>
              <w:rPr>
                <w:rFonts w:hint="eastAsia" w:ascii="黑体" w:hAnsi="宋体" w:eastAsia="黑体"/>
                <w:szCs w:val="21"/>
              </w:rPr>
            </w:pPr>
            <w:r>
              <w:rPr>
                <w:rFonts w:hint="eastAsia" w:ascii="黑体" w:hAnsi="宋体" w:eastAsia="黑体"/>
                <w:szCs w:val="21"/>
              </w:rPr>
              <w:t>考试时长</w:t>
            </w:r>
          </w:p>
        </w:tc>
        <w:tc>
          <w:tcPr>
            <w:tcW w:w="3202" w:type="dxa"/>
            <w:noWrap w:val="0"/>
            <w:vAlign w:val="center"/>
          </w:tcPr>
          <w:p>
            <w:pPr>
              <w:adjustRightInd w:val="0"/>
              <w:snapToGrid w:val="0"/>
              <w:spacing w:line="280" w:lineRule="exact"/>
              <w:jc w:val="center"/>
              <w:rPr>
                <w:rFonts w:hint="eastAsia" w:ascii="黑体" w:hAnsi="宋体" w:eastAsia="黑体"/>
                <w:szCs w:val="21"/>
              </w:rPr>
            </w:pPr>
            <w:r>
              <w:rPr>
                <w:rFonts w:hint="eastAsia" w:ascii="黑体" w:hAnsi="宋体" w:eastAsia="黑体"/>
                <w:szCs w:val="21"/>
              </w:rPr>
              <w:t>等级呈现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2403" w:type="dxa"/>
            <w:noWrap w:val="0"/>
            <w:vAlign w:val="center"/>
          </w:tcPr>
          <w:p>
            <w:pPr>
              <w:adjustRightInd w:val="0"/>
              <w:snapToGrid w:val="0"/>
              <w:spacing w:line="280" w:lineRule="exact"/>
              <w:rPr>
                <w:rFonts w:ascii="宋体" w:hAnsi="宋体"/>
                <w:szCs w:val="21"/>
              </w:rPr>
            </w:pPr>
            <w:r>
              <w:rPr>
                <w:rFonts w:hint="eastAsia" w:ascii="宋体" w:hAnsi="宋体"/>
                <w:szCs w:val="21"/>
              </w:rPr>
              <w:t>生物、地理合卷考试</w:t>
            </w:r>
          </w:p>
        </w:tc>
        <w:tc>
          <w:tcPr>
            <w:tcW w:w="1980" w:type="dxa"/>
            <w:noWrap w:val="0"/>
            <w:vAlign w:val="center"/>
          </w:tcPr>
          <w:p>
            <w:pPr>
              <w:adjustRightInd w:val="0"/>
              <w:snapToGrid w:val="0"/>
              <w:spacing w:line="280" w:lineRule="exact"/>
              <w:rPr>
                <w:rFonts w:ascii="宋体" w:hAnsi="宋体"/>
                <w:szCs w:val="21"/>
              </w:rPr>
            </w:pPr>
            <w:r>
              <w:rPr>
                <w:rFonts w:ascii="宋体" w:hAnsi="宋体"/>
                <w:szCs w:val="21"/>
              </w:rPr>
              <w:t>100</w:t>
            </w:r>
            <w:r>
              <w:rPr>
                <w:rFonts w:hint="eastAsia" w:ascii="宋体" w:hAnsi="宋体"/>
                <w:szCs w:val="21"/>
              </w:rPr>
              <w:t>分（生物</w:t>
            </w:r>
            <w:r>
              <w:rPr>
                <w:rFonts w:ascii="宋体" w:hAnsi="宋体"/>
                <w:szCs w:val="21"/>
              </w:rPr>
              <w:t>50</w:t>
            </w:r>
            <w:r>
              <w:rPr>
                <w:rFonts w:hint="eastAsia" w:ascii="宋体" w:hAnsi="宋体"/>
                <w:szCs w:val="21"/>
              </w:rPr>
              <w:t>分、地理</w:t>
            </w:r>
            <w:r>
              <w:rPr>
                <w:rFonts w:ascii="宋体" w:hAnsi="宋体"/>
                <w:szCs w:val="21"/>
              </w:rPr>
              <w:t>50</w:t>
            </w:r>
            <w:r>
              <w:rPr>
                <w:rFonts w:hint="eastAsia" w:ascii="宋体" w:hAnsi="宋体"/>
                <w:szCs w:val="21"/>
              </w:rPr>
              <w:t>分）</w:t>
            </w:r>
          </w:p>
        </w:tc>
        <w:tc>
          <w:tcPr>
            <w:tcW w:w="1440" w:type="dxa"/>
            <w:noWrap w:val="0"/>
            <w:vAlign w:val="center"/>
          </w:tcPr>
          <w:p>
            <w:pPr>
              <w:adjustRightInd w:val="0"/>
              <w:snapToGrid w:val="0"/>
              <w:spacing w:line="280" w:lineRule="exact"/>
              <w:rPr>
                <w:rFonts w:ascii="宋体" w:hAnsi="宋体"/>
                <w:szCs w:val="21"/>
              </w:rPr>
            </w:pPr>
            <w:r>
              <w:rPr>
                <w:rFonts w:ascii="宋体" w:hAnsi="宋体"/>
                <w:szCs w:val="21"/>
              </w:rPr>
              <w:t>80</w:t>
            </w:r>
            <w:r>
              <w:rPr>
                <w:rFonts w:hint="eastAsia" w:ascii="宋体" w:hAnsi="宋体"/>
                <w:szCs w:val="21"/>
              </w:rPr>
              <w:t>分钟</w:t>
            </w:r>
          </w:p>
        </w:tc>
        <w:tc>
          <w:tcPr>
            <w:tcW w:w="3202" w:type="dxa"/>
            <w:noWrap w:val="0"/>
            <w:vAlign w:val="center"/>
          </w:tcPr>
          <w:p>
            <w:pPr>
              <w:adjustRightInd w:val="0"/>
              <w:snapToGrid w:val="0"/>
              <w:spacing w:line="280" w:lineRule="exact"/>
              <w:rPr>
                <w:rFonts w:ascii="宋体" w:hAnsi="宋体"/>
                <w:szCs w:val="21"/>
              </w:rPr>
            </w:pPr>
            <w:r>
              <w:rPr>
                <w:rFonts w:ascii="宋体" w:hAnsi="宋体"/>
                <w:szCs w:val="21"/>
              </w:rPr>
              <w:t>A＋</w:t>
            </w:r>
            <w:r>
              <w:rPr>
                <w:rFonts w:hint="eastAsia" w:ascii="宋体" w:hAnsi="宋体"/>
                <w:szCs w:val="21"/>
              </w:rPr>
              <w:t>（</w:t>
            </w:r>
            <w:r>
              <w:rPr>
                <w:rFonts w:ascii="宋体" w:hAnsi="宋体"/>
                <w:szCs w:val="21"/>
              </w:rPr>
              <w:t>5%</w:t>
            </w:r>
            <w:r>
              <w:rPr>
                <w:rFonts w:hint="eastAsia" w:ascii="宋体" w:hAnsi="宋体"/>
                <w:szCs w:val="21"/>
              </w:rPr>
              <w:t>）、</w:t>
            </w:r>
            <w:r>
              <w:rPr>
                <w:rFonts w:ascii="宋体" w:hAnsi="宋体"/>
                <w:szCs w:val="21"/>
              </w:rPr>
              <w:t>A</w:t>
            </w:r>
            <w:r>
              <w:rPr>
                <w:rFonts w:hint="eastAsia" w:ascii="宋体" w:hAnsi="宋体"/>
                <w:szCs w:val="21"/>
              </w:rPr>
              <w:t>（</w:t>
            </w:r>
            <w:r>
              <w:rPr>
                <w:rFonts w:ascii="宋体" w:hAnsi="宋体"/>
                <w:szCs w:val="21"/>
              </w:rPr>
              <w:t>20%</w:t>
            </w:r>
            <w:r>
              <w:rPr>
                <w:rFonts w:hint="eastAsia" w:ascii="宋体" w:hAnsi="宋体"/>
                <w:szCs w:val="21"/>
              </w:rPr>
              <w:t>）、</w:t>
            </w:r>
            <w:r>
              <w:rPr>
                <w:rFonts w:ascii="宋体" w:hAnsi="宋体"/>
                <w:szCs w:val="21"/>
              </w:rPr>
              <w:t>B＋</w:t>
            </w:r>
            <w:r>
              <w:rPr>
                <w:rFonts w:hint="eastAsia" w:ascii="宋体" w:hAnsi="宋体"/>
                <w:szCs w:val="21"/>
              </w:rPr>
              <w:t>（</w:t>
            </w:r>
            <w:r>
              <w:rPr>
                <w:rFonts w:ascii="宋体" w:hAnsi="宋体"/>
                <w:szCs w:val="21"/>
              </w:rPr>
              <w:t>25%</w:t>
            </w:r>
            <w:r>
              <w:rPr>
                <w:rFonts w:hint="eastAsia" w:ascii="宋体" w:hAnsi="宋体"/>
                <w:szCs w:val="21"/>
              </w:rPr>
              <w:t>）、</w:t>
            </w:r>
            <w:r>
              <w:rPr>
                <w:rFonts w:ascii="宋体" w:hAnsi="宋体"/>
                <w:szCs w:val="21"/>
              </w:rPr>
              <w:t>B</w:t>
            </w:r>
            <w:r>
              <w:rPr>
                <w:rFonts w:hint="eastAsia" w:ascii="宋体" w:hAnsi="宋体"/>
                <w:szCs w:val="21"/>
              </w:rPr>
              <w:t>（</w:t>
            </w:r>
            <w:r>
              <w:rPr>
                <w:rFonts w:ascii="宋体" w:hAnsi="宋体"/>
                <w:szCs w:val="21"/>
              </w:rPr>
              <w:t>25%</w:t>
            </w:r>
            <w:r>
              <w:rPr>
                <w:rFonts w:hint="eastAsia" w:ascii="宋体" w:hAnsi="宋体"/>
                <w:szCs w:val="21"/>
              </w:rPr>
              <w:t>）、</w:t>
            </w:r>
            <w:r>
              <w:rPr>
                <w:rFonts w:ascii="宋体" w:hAnsi="宋体"/>
                <w:szCs w:val="21"/>
              </w:rPr>
              <w:t>C＋</w:t>
            </w:r>
            <w:r>
              <w:rPr>
                <w:rFonts w:hint="eastAsia" w:ascii="宋体" w:hAnsi="宋体"/>
                <w:szCs w:val="21"/>
              </w:rPr>
              <w:t>（</w:t>
            </w:r>
            <w:r>
              <w:rPr>
                <w:rFonts w:ascii="宋体" w:hAnsi="宋体"/>
                <w:szCs w:val="21"/>
              </w:rPr>
              <w:t>20%</w:t>
            </w:r>
            <w:r>
              <w:rPr>
                <w:rFonts w:hint="eastAsia" w:ascii="宋体" w:hAnsi="宋体"/>
                <w:szCs w:val="21"/>
              </w:rPr>
              <w:t>）、</w:t>
            </w:r>
            <w:r>
              <w:rPr>
                <w:rFonts w:ascii="宋体" w:hAnsi="宋体"/>
                <w:szCs w:val="21"/>
              </w:rPr>
              <w:t>C</w:t>
            </w:r>
            <w:r>
              <w:rPr>
                <w:rFonts w:hint="eastAsia" w:ascii="宋体" w:hAnsi="宋体"/>
                <w:szCs w:val="21"/>
              </w:rPr>
              <w:t>（</w:t>
            </w:r>
            <w:r>
              <w:rPr>
                <w:rFonts w:ascii="宋体" w:hAnsi="宋体"/>
                <w:szCs w:val="21"/>
              </w:rPr>
              <w:t>5%</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2403" w:type="dxa"/>
            <w:noWrap w:val="0"/>
            <w:vAlign w:val="center"/>
          </w:tcPr>
          <w:p>
            <w:pPr>
              <w:adjustRightInd w:val="0"/>
              <w:snapToGrid w:val="0"/>
              <w:spacing w:line="280" w:lineRule="exact"/>
              <w:rPr>
                <w:rFonts w:ascii="宋体" w:hAnsi="宋体"/>
                <w:szCs w:val="21"/>
              </w:rPr>
            </w:pPr>
            <w:r>
              <w:rPr>
                <w:rFonts w:hint="eastAsia" w:ascii="宋体" w:hAnsi="宋体"/>
                <w:szCs w:val="21"/>
              </w:rPr>
              <w:t>物理、化学、生物实验操作考试</w:t>
            </w:r>
          </w:p>
        </w:tc>
        <w:tc>
          <w:tcPr>
            <w:tcW w:w="1980" w:type="dxa"/>
            <w:tcBorders>
              <w:right w:val="single" w:color="auto" w:sz="4" w:space="0"/>
            </w:tcBorders>
            <w:noWrap w:val="0"/>
            <w:vAlign w:val="center"/>
          </w:tcPr>
          <w:p>
            <w:pPr>
              <w:adjustRightInd w:val="0"/>
              <w:snapToGrid w:val="0"/>
              <w:spacing w:line="280" w:lineRule="exact"/>
              <w:rPr>
                <w:rFonts w:ascii="宋体" w:hAnsi="宋体"/>
                <w:szCs w:val="21"/>
              </w:rPr>
            </w:pPr>
            <w:r>
              <w:rPr>
                <w:rFonts w:hint="eastAsia" w:ascii="宋体" w:hAnsi="宋体"/>
                <w:szCs w:val="21"/>
              </w:rPr>
              <w:t>每科</w:t>
            </w:r>
            <w:r>
              <w:rPr>
                <w:rFonts w:ascii="宋体" w:hAnsi="宋体"/>
                <w:szCs w:val="21"/>
              </w:rPr>
              <w:t>10</w:t>
            </w:r>
            <w:r>
              <w:rPr>
                <w:rFonts w:hint="eastAsia" w:ascii="宋体" w:hAnsi="宋体"/>
                <w:szCs w:val="21"/>
              </w:rPr>
              <w:t>分</w:t>
            </w:r>
          </w:p>
        </w:tc>
        <w:tc>
          <w:tcPr>
            <w:tcW w:w="1440" w:type="dxa"/>
            <w:tcBorders>
              <w:left w:val="single" w:color="auto" w:sz="4" w:space="0"/>
            </w:tcBorders>
            <w:noWrap w:val="0"/>
            <w:vAlign w:val="center"/>
          </w:tcPr>
          <w:p>
            <w:pPr>
              <w:adjustRightInd w:val="0"/>
              <w:snapToGrid w:val="0"/>
              <w:spacing w:line="280" w:lineRule="exact"/>
              <w:rPr>
                <w:rFonts w:ascii="宋体" w:hAnsi="宋体"/>
                <w:szCs w:val="21"/>
              </w:rPr>
            </w:pPr>
            <w:r>
              <w:rPr>
                <w:rFonts w:hint="eastAsia" w:ascii="宋体" w:hAnsi="宋体"/>
                <w:szCs w:val="21"/>
              </w:rPr>
              <w:t>每科</w:t>
            </w:r>
            <w:r>
              <w:rPr>
                <w:rFonts w:ascii="宋体" w:hAnsi="宋体"/>
                <w:szCs w:val="21"/>
              </w:rPr>
              <w:t>10</w:t>
            </w:r>
            <w:r>
              <w:rPr>
                <w:rFonts w:hint="eastAsia" w:ascii="宋体" w:hAnsi="宋体"/>
                <w:szCs w:val="21"/>
              </w:rPr>
              <w:t>分钟</w:t>
            </w:r>
          </w:p>
        </w:tc>
        <w:tc>
          <w:tcPr>
            <w:tcW w:w="3202" w:type="dxa"/>
            <w:noWrap w:val="0"/>
            <w:vAlign w:val="center"/>
          </w:tcPr>
          <w:p>
            <w:pPr>
              <w:adjustRightInd w:val="0"/>
              <w:snapToGrid w:val="0"/>
              <w:spacing w:line="280" w:lineRule="exact"/>
              <w:rPr>
                <w:rFonts w:ascii="宋体" w:hAnsi="宋体"/>
                <w:szCs w:val="21"/>
              </w:rPr>
            </w:pPr>
            <w:r>
              <w:rPr>
                <w:rFonts w:hint="eastAsia" w:ascii="宋体" w:hAnsi="宋体"/>
                <w:szCs w:val="21"/>
              </w:rPr>
              <w:t>合格</w:t>
            </w:r>
            <w:r>
              <w:rPr>
                <w:rFonts w:ascii="宋体" w:hAnsi="宋体"/>
                <w:szCs w:val="21"/>
              </w:rPr>
              <w:t>/</w:t>
            </w:r>
            <w:r>
              <w:rPr>
                <w:rFonts w:hint="eastAsia" w:ascii="宋体" w:hAnsi="宋体"/>
                <w:szCs w:val="21"/>
              </w:rPr>
              <w:t>待合格</w:t>
            </w:r>
          </w:p>
        </w:tc>
      </w:tr>
    </w:tbl>
    <w:p>
      <w:pPr>
        <w:spacing w:before="93" w:beforeLines="30" w:line="300" w:lineRule="atLeast"/>
        <w:ind w:firstLine="420" w:firstLineChars="200"/>
        <w:rPr>
          <w:rFonts w:hint="eastAsia" w:ascii="楷体_GB2312" w:hAnsi="宋体" w:eastAsia="楷体_GB2312"/>
          <w:szCs w:val="21"/>
        </w:rPr>
      </w:pPr>
      <w:r>
        <w:rPr>
          <w:rFonts w:hint="eastAsia" w:ascii="楷体_GB2312" w:hAnsi="宋体" w:eastAsia="楷体_GB2312"/>
          <w:szCs w:val="21"/>
        </w:rPr>
        <w:t>注：生物、地理考试和实验操作考试成绩最终以等级呈现，各高中阶段学校可以根据办学特色申请设定以上科目的录取等级要求，经市教育行政部门审核后向社会公布。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D74661"/>
    <w:rsid w:val="2FD746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No Spacing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2018-11-27T08:41:00Z</dcterms:created>
  <dc:creator>琉璃</dc:creator>
  <cp:lastModifiedBy>琉璃</cp:lastModifiedBy>
  <dcterms:modified xsi:type="dcterms:W3CDTF">2018-11-27T08:41:41Z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