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黑体"/>
          <w:kern w:val="0"/>
          <w:sz w:val="24"/>
          <w:szCs w:val="24"/>
        </w:rPr>
        <w:t>附件</w:t>
      </w:r>
      <w:r>
        <w:rPr>
          <w:rFonts w:ascii="宋体" w:hAnsi="宋体" w:cs="仿宋_GB2312"/>
          <w:kern w:val="0"/>
          <w:sz w:val="24"/>
          <w:szCs w:val="24"/>
        </w:rPr>
        <w:t>1</w:t>
      </w:r>
    </w:p>
    <w:p>
      <w:pPr>
        <w:spacing w:before="156" w:beforeLines="50"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行业主管部门与市政府投资项目涉及中介资质对应关系</w:t>
      </w:r>
      <w:bookmarkStart w:id="0" w:name="_GoBack"/>
      <w:bookmarkEnd w:id="0"/>
    </w:p>
    <w:tbl>
      <w:tblPr>
        <w:tblStyle w:val="7"/>
        <w:tblW w:w="13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527"/>
        <w:gridCol w:w="9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部门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主管中介资质范围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市发展改革委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工程咨询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市公安消防监管局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建筑消防设施检查技术服务资质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市规划国土委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地质灾害危险性评估</w:t>
            </w:r>
          </w:p>
          <w:p>
            <w:pPr>
              <w:spacing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土地规划机构资质</w:t>
            </w:r>
          </w:p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城乡规划编制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市住房建设局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工程设计资质</w:t>
            </w:r>
          </w:p>
          <w:p>
            <w:pPr>
              <w:spacing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工程勘察资质</w:t>
            </w:r>
          </w:p>
          <w:p>
            <w:pPr>
              <w:spacing w:line="300" w:lineRule="exac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房屋建筑和市政基础设施工程施工图设计审查</w:t>
            </w:r>
          </w:p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建筑工程质量检查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市交通运输委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公路水运工程试验检查机构资质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6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市水务局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水利工程质量检测单位资质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7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市市场和质量监管委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检验检测机构资质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8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市人居环境委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环境影响评价机构资质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9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市安全监管局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安全评价机构资质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市应急办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人防工程设计资质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11</w:t>
            </w:r>
          </w:p>
        </w:tc>
        <w:tc>
          <w:tcPr>
            <w:tcW w:w="2527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市气象局</w:t>
            </w:r>
          </w:p>
        </w:tc>
        <w:tc>
          <w:tcPr>
            <w:tcW w:w="9773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防雷装置检测</w:t>
            </w:r>
          </w:p>
          <w:p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防雷装置设计技术评价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0BEB"/>
    <w:rsid w:val="13A50B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2018-03-26T07:37:00Z</dcterms:created>
  <dc:creator>琉璃</dc:creator>
  <cp:lastModifiedBy>琉璃</cp:lastModifiedBy>
  <dcterms:modified xsi:type="dcterms:W3CDTF">2018-03-26T07:38:22Z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