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宋体" w:hAnsi="宋体"/>
          <w:sz w:val="24"/>
          <w:szCs w:val="24"/>
        </w:rPr>
      </w:pPr>
      <w:r>
        <w:rPr>
          <w:rFonts w:hint="eastAsia" w:ascii="宋体" w:hAnsi="宋体"/>
          <w:sz w:val="24"/>
          <w:szCs w:val="24"/>
        </w:rPr>
        <w:t>附件</w:t>
      </w:r>
    </w:p>
    <w:p>
      <w:pPr>
        <w:spacing w:after="156" w:afterLines="50" w:line="0" w:lineRule="atLeast"/>
        <w:jc w:val="center"/>
        <w:rPr>
          <w:rFonts w:ascii="宋体" w:hAnsi="宋体" w:cs="方正小标宋简体"/>
          <w:sz w:val="36"/>
          <w:szCs w:val="36"/>
        </w:rPr>
      </w:pPr>
      <w:r>
        <w:rPr>
          <w:rFonts w:ascii="宋体" w:hAnsi="宋体" w:cs="方正小标宋简体"/>
          <w:sz w:val="36"/>
          <w:szCs w:val="36"/>
          <w:lang w:bidi="ar"/>
        </w:rPr>
        <w:t>重点任务分工及进度安排表</w:t>
      </w:r>
    </w:p>
    <w:tbl>
      <w:tblPr>
        <w:tblStyle w:val="3"/>
        <w:tblW w:w="9109" w:type="dxa"/>
        <w:jc w:val="center"/>
        <w:tblInd w:w="0" w:type="dxa"/>
        <w:tblLayout w:type="fixed"/>
        <w:tblCellMar>
          <w:top w:w="0" w:type="dxa"/>
          <w:left w:w="108" w:type="dxa"/>
          <w:bottom w:w="0" w:type="dxa"/>
          <w:right w:w="108" w:type="dxa"/>
        </w:tblCellMar>
      </w:tblPr>
      <w:tblGrid>
        <w:gridCol w:w="534"/>
        <w:gridCol w:w="4006"/>
        <w:gridCol w:w="1186"/>
        <w:gridCol w:w="1412"/>
        <w:gridCol w:w="1971"/>
      </w:tblGrid>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黑体" w:hAnsi="宋体" w:eastAsia="黑体" w:cs="仿宋_GB2312"/>
                <w:szCs w:val="21"/>
              </w:rPr>
            </w:pPr>
            <w:r>
              <w:rPr>
                <w:rFonts w:hint="eastAsia" w:ascii="黑体" w:hAnsi="宋体" w:eastAsia="黑体" w:cs="仿宋_GB2312"/>
                <w:szCs w:val="21"/>
                <w:lang w:bidi="ar"/>
              </w:rPr>
              <w:t>序号</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黑体" w:hAnsi="宋体" w:eastAsia="黑体" w:cs="仿宋_GB2312"/>
                <w:szCs w:val="21"/>
              </w:rPr>
            </w:pPr>
            <w:r>
              <w:rPr>
                <w:rFonts w:hint="eastAsia" w:ascii="黑体" w:hAnsi="宋体" w:eastAsia="黑体" w:cs="仿宋_GB2312"/>
                <w:szCs w:val="21"/>
                <w:lang w:bidi="ar"/>
              </w:rPr>
              <w:t>具体工作事项</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黑体" w:hAnsi="宋体" w:eastAsia="黑体" w:cs="仿宋_GB2312"/>
                <w:szCs w:val="21"/>
              </w:rPr>
            </w:pPr>
            <w:r>
              <w:rPr>
                <w:rFonts w:hint="eastAsia" w:ascii="黑体" w:hAnsi="宋体" w:eastAsia="黑体" w:cs="仿宋_GB2312"/>
                <w:szCs w:val="21"/>
                <w:lang w:bidi="ar"/>
              </w:rPr>
              <w:t>完成时限</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黑体" w:hAnsi="宋体" w:eastAsia="黑体" w:cs="仿宋_GB2312"/>
                <w:szCs w:val="21"/>
              </w:rPr>
            </w:pPr>
            <w:r>
              <w:rPr>
                <w:rFonts w:hint="eastAsia" w:ascii="黑体" w:hAnsi="宋体" w:eastAsia="黑体" w:cs="仿宋_GB2312"/>
                <w:szCs w:val="21"/>
                <w:lang w:bidi="ar"/>
              </w:rPr>
              <w:t>主办单位</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黑体" w:hAnsi="宋体" w:eastAsia="黑体" w:cs="仿宋_GB2312"/>
                <w:szCs w:val="21"/>
              </w:rPr>
            </w:pPr>
            <w:r>
              <w:rPr>
                <w:rFonts w:hint="eastAsia" w:ascii="黑体" w:hAnsi="宋体" w:eastAsia="黑体" w:cs="仿宋_GB2312"/>
                <w:szCs w:val="21"/>
                <w:lang w:bidi="ar"/>
              </w:rPr>
              <w:t>会办单位</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宋体" w:hAnsi="宋体" w:cs="宋体"/>
                <w:szCs w:val="21"/>
              </w:rPr>
            </w:pPr>
            <w:r>
              <w:rPr>
                <w:rFonts w:hint="eastAsia" w:ascii="宋体" w:hAnsi="宋体" w:cs="宋体"/>
                <w:szCs w:val="21"/>
                <w:lang w:bidi="ar"/>
              </w:rPr>
              <w:t>1</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落实“放管服”改革，降低准入门槛。</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持续实施</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市民政局</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区政府、新区管委会</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2</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建筑面积在5000平方米以下的养老机构免予环评。</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持续实施</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市人居环境委</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3</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养老机构内部设立医疗机构实施备案管理。</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2020年底前</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市卫生计生委</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4</w:t>
            </w:r>
          </w:p>
        </w:tc>
        <w:tc>
          <w:tcPr>
            <w:tcW w:w="4006" w:type="dxa"/>
            <w:tcBorders>
              <w:top w:val="single" w:color="auto" w:sz="4" w:space="0"/>
              <w:left w:val="nil"/>
              <w:bottom w:val="single" w:color="auto" w:sz="4" w:space="0"/>
              <w:right w:val="single" w:color="auto" w:sz="4" w:space="0"/>
            </w:tcBorders>
            <w:noWrap w:val="0"/>
            <w:vAlign w:val="center"/>
          </w:tcPr>
          <w:p>
            <w:pPr>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对于符合消防、食品等相关安全标准要求但因不动产登记、土地规划等行政手续问题不能通过消防审验、食品安全许可的养老机构（含街道敬老院），由所在区民政部门会同区消防、食药监管等有关部门报区政府集中研究处置措施，采取一事一议的方式，在确保安全的前提下优化审验手续。</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2020年底前</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区政府、新区管委会</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市民政局、发展改革委、规划国土委、住房建设局、卫生计生委、人居环境委、公安局、市场和质量监管委</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5</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优化设立养老机构的服务设施要求。</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持续实施</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区政府、新区管委会</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市民政局</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6</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投资建设养老服务设施工程项目审批流程整合。</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持续实施</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市民政局</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市发展改革委、规划国土委、住房建设局</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7</w:t>
            </w:r>
          </w:p>
        </w:tc>
        <w:tc>
          <w:tcPr>
            <w:tcW w:w="4006" w:type="dxa"/>
            <w:tcBorders>
              <w:top w:val="single" w:color="auto" w:sz="4" w:space="0"/>
              <w:left w:val="nil"/>
              <w:bottom w:val="single" w:color="auto" w:sz="4" w:space="0"/>
              <w:right w:val="single" w:color="auto" w:sz="4" w:space="0"/>
            </w:tcBorders>
            <w:noWrap w:val="0"/>
            <w:vAlign w:val="center"/>
          </w:tcPr>
          <w:p>
            <w:pPr>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放宽外资准入。</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持续实施</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市民政局</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区政府、新区管委会、市公安局、发展改革委、经贸信息委</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8</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完善服务价格机制。</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持续实施</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市发展改革委</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市民政局、财政委</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9</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促进社会参与，鼓励公办养老机构（含街道敬老院）改革。</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持续实施</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区政府、新区管委会</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市民政局</w:t>
            </w:r>
          </w:p>
        </w:tc>
      </w:tr>
    </w:tbl>
    <w:p>
      <w:pPr>
        <w:spacing w:line="240" w:lineRule="exact"/>
        <w:rPr>
          <w:rFonts w:hint="eastAsia"/>
        </w:rPr>
      </w:pPr>
    </w:p>
    <w:tbl>
      <w:tblPr>
        <w:tblStyle w:val="3"/>
        <w:tblW w:w="9109" w:type="dxa"/>
        <w:jc w:val="center"/>
        <w:tblInd w:w="0" w:type="dxa"/>
        <w:tblLayout w:type="fixed"/>
        <w:tblCellMar>
          <w:top w:w="0" w:type="dxa"/>
          <w:left w:w="108" w:type="dxa"/>
          <w:bottom w:w="0" w:type="dxa"/>
          <w:right w:w="108" w:type="dxa"/>
        </w:tblCellMar>
      </w:tblPr>
      <w:tblGrid>
        <w:gridCol w:w="534"/>
        <w:gridCol w:w="4006"/>
        <w:gridCol w:w="1186"/>
        <w:gridCol w:w="1412"/>
        <w:gridCol w:w="1971"/>
      </w:tblGrid>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黑体" w:hAnsi="宋体" w:eastAsia="黑体" w:cs="仿宋_GB2312"/>
                <w:szCs w:val="21"/>
              </w:rPr>
            </w:pPr>
            <w:r>
              <w:rPr>
                <w:rFonts w:hint="eastAsia" w:ascii="黑体" w:hAnsi="宋体" w:eastAsia="黑体" w:cs="仿宋_GB2312"/>
                <w:szCs w:val="21"/>
                <w:lang w:bidi="ar"/>
              </w:rPr>
              <w:t>序号</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黑体" w:hAnsi="宋体" w:eastAsia="黑体" w:cs="仿宋_GB2312"/>
                <w:szCs w:val="21"/>
              </w:rPr>
            </w:pPr>
            <w:r>
              <w:rPr>
                <w:rFonts w:hint="eastAsia" w:ascii="黑体" w:hAnsi="宋体" w:eastAsia="黑体" w:cs="仿宋_GB2312"/>
                <w:szCs w:val="21"/>
                <w:lang w:bidi="ar"/>
              </w:rPr>
              <w:t>具体工作事项</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黑体" w:hAnsi="宋体" w:eastAsia="黑体" w:cs="仿宋_GB2312"/>
                <w:szCs w:val="21"/>
              </w:rPr>
            </w:pPr>
            <w:r>
              <w:rPr>
                <w:rFonts w:hint="eastAsia" w:ascii="黑体" w:hAnsi="宋体" w:eastAsia="黑体" w:cs="仿宋_GB2312"/>
                <w:szCs w:val="21"/>
                <w:lang w:bidi="ar"/>
              </w:rPr>
              <w:t>完成时限</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黑体" w:hAnsi="宋体" w:eastAsia="黑体" w:cs="仿宋_GB2312"/>
                <w:szCs w:val="21"/>
              </w:rPr>
            </w:pPr>
            <w:r>
              <w:rPr>
                <w:rFonts w:hint="eastAsia" w:ascii="黑体" w:hAnsi="宋体" w:eastAsia="黑体" w:cs="仿宋_GB2312"/>
                <w:szCs w:val="21"/>
                <w:lang w:bidi="ar"/>
              </w:rPr>
              <w:t>主办单位</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黑体" w:hAnsi="宋体" w:eastAsia="黑体" w:cs="仿宋_GB2312"/>
                <w:szCs w:val="21"/>
              </w:rPr>
            </w:pPr>
            <w:r>
              <w:rPr>
                <w:rFonts w:hint="eastAsia" w:ascii="黑体" w:hAnsi="宋体" w:eastAsia="黑体" w:cs="仿宋_GB2312"/>
                <w:szCs w:val="21"/>
                <w:lang w:bidi="ar"/>
              </w:rPr>
              <w:t>会办单位</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10</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推动跨境养老服务产业合作与发展。</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持续实施</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市民政局</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市经贸信息委、人力资源保障局、外事办</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11</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“十三五”期间全市新增机构养老床位3000张以上。到“十三五”末每个区至少建成一家具有代表性、示范性的区级社会福利中心或养老机构。</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2020年底前</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区政府、新区管委会</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市民政局、规划国土委、住房建设局</w:t>
            </w:r>
          </w:p>
        </w:tc>
      </w:tr>
      <w:tr>
        <w:tblPrEx>
          <w:tblLayout w:type="fixed"/>
          <w:tblCellMar>
            <w:top w:w="0" w:type="dxa"/>
            <w:left w:w="108" w:type="dxa"/>
            <w:bottom w:w="0" w:type="dxa"/>
            <w:right w:w="108" w:type="dxa"/>
          </w:tblCellMar>
        </w:tblPrEx>
        <w:trPr>
          <w:trHeight w:val="284" w:hRule="atLeast"/>
          <w:jc w:val="center"/>
        </w:trPr>
        <w:tc>
          <w:tcPr>
            <w:tcW w:w="534" w:type="dxa"/>
            <w:vMerge w:val="restart"/>
            <w:tcBorders>
              <w:top w:val="nil"/>
              <w:left w:val="single" w:color="auto" w:sz="4" w:space="0"/>
              <w:right w:val="single" w:color="auto" w:sz="4" w:space="0"/>
            </w:tcBorders>
            <w:noWrap w:val="0"/>
            <w:vAlign w:val="center"/>
          </w:tcPr>
          <w:p>
            <w:pPr>
              <w:spacing w:line="280" w:lineRule="exact"/>
              <w:ind w:left="-63" w:leftChars="-30" w:right="-63" w:rightChars="-30"/>
              <w:jc w:val="center"/>
              <w:rPr>
                <w:rFonts w:hint="eastAsia" w:ascii="宋体" w:hAnsi="宋体" w:cs="仿宋_GB2312"/>
                <w:szCs w:val="21"/>
              </w:rPr>
            </w:pPr>
            <w:r>
              <w:rPr>
                <w:rFonts w:hint="eastAsia" w:ascii="宋体" w:hAnsi="宋体" w:cs="Calibri"/>
                <w:szCs w:val="21"/>
              </w:rPr>
              <w:t>12</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机构养老床位、社区托养床位按8.5∶1.5设置，重点发展面向失能（失智）老年人的照料护理服务，提高老年人治疗、康复护理、临终关怀等机构的比例。到2035年，全市养老床位总数达到11.3万张以上，护理型床位占机构养老床位总数的75%，即约7.2万张。按人口分布，各区任务分解如下：</w:t>
            </w:r>
          </w:p>
        </w:tc>
        <w:tc>
          <w:tcPr>
            <w:tcW w:w="1186" w:type="dxa"/>
            <w:vMerge w:val="restart"/>
            <w:tcBorders>
              <w:top w:val="nil"/>
              <w:left w:val="nil"/>
              <w:right w:val="single" w:color="auto" w:sz="4" w:space="0"/>
            </w:tcBorders>
            <w:noWrap w:val="0"/>
            <w:vAlign w:val="center"/>
          </w:tcPr>
          <w:p>
            <w:pPr>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2035年底前</w:t>
            </w:r>
          </w:p>
        </w:tc>
        <w:tc>
          <w:tcPr>
            <w:tcW w:w="1412" w:type="dxa"/>
            <w:vMerge w:val="restart"/>
            <w:tcBorders>
              <w:top w:val="nil"/>
              <w:left w:val="nil"/>
              <w:right w:val="single" w:color="auto" w:sz="4" w:space="0"/>
            </w:tcBorders>
            <w:noWrap w:val="0"/>
            <w:vAlign w:val="center"/>
          </w:tcPr>
          <w:p>
            <w:pPr>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市民政局</w:t>
            </w:r>
          </w:p>
        </w:tc>
        <w:tc>
          <w:tcPr>
            <w:tcW w:w="1971" w:type="dxa"/>
            <w:tcBorders>
              <w:top w:val="single" w:color="auto" w:sz="4" w:space="0"/>
              <w:left w:val="nil"/>
              <w:bottom w:val="nil"/>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市发展改革委、规划国土委、卫生计生委、住房建设局</w:t>
            </w:r>
          </w:p>
        </w:tc>
      </w:tr>
      <w:tr>
        <w:tblPrEx>
          <w:tblLayout w:type="fixed"/>
          <w:tblCellMar>
            <w:top w:w="0" w:type="dxa"/>
            <w:left w:w="108" w:type="dxa"/>
            <w:bottom w:w="0" w:type="dxa"/>
            <w:right w:w="108" w:type="dxa"/>
          </w:tblCellMar>
        </w:tblPrEx>
        <w:trPr>
          <w:trHeight w:val="284" w:hRule="atLeast"/>
          <w:jc w:val="center"/>
        </w:trPr>
        <w:tc>
          <w:tcPr>
            <w:tcW w:w="534" w:type="dxa"/>
            <w:vMerge w:val="continue"/>
            <w:tcBorders>
              <w:left w:val="single" w:color="auto" w:sz="4" w:space="0"/>
              <w:right w:val="single" w:color="auto" w:sz="4" w:space="0"/>
            </w:tcBorders>
            <w:noWrap w:val="0"/>
            <w:vAlign w:val="center"/>
          </w:tcPr>
          <w:p>
            <w:pPr>
              <w:spacing w:line="280" w:lineRule="exact"/>
              <w:ind w:left="-63" w:leftChars="-30" w:right="-63" w:rightChars="-30"/>
              <w:jc w:val="center"/>
              <w:rPr>
                <w:rFonts w:hint="eastAsia" w:ascii="宋体" w:hAnsi="宋体" w:cs="Calibri"/>
                <w:szCs w:val="21"/>
              </w:rPr>
            </w:pP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护理型床位21353张</w:t>
            </w:r>
          </w:p>
        </w:tc>
        <w:tc>
          <w:tcPr>
            <w:tcW w:w="1186" w:type="dxa"/>
            <w:vMerge w:val="continue"/>
            <w:tcBorders>
              <w:left w:val="nil"/>
              <w:right w:val="single" w:color="auto" w:sz="4" w:space="0"/>
            </w:tcBorders>
            <w:noWrap w:val="0"/>
            <w:vAlign w:val="center"/>
          </w:tcPr>
          <w:p>
            <w:pPr>
              <w:adjustRightInd w:val="0"/>
              <w:snapToGrid w:val="0"/>
              <w:spacing w:line="280" w:lineRule="exact"/>
              <w:ind w:left="-63" w:leftChars="-30" w:right="-63" w:rightChars="-30"/>
              <w:rPr>
                <w:rFonts w:hint="eastAsia" w:ascii="宋体" w:hAnsi="宋体" w:cs="Calibri"/>
                <w:szCs w:val="21"/>
              </w:rPr>
            </w:pPr>
          </w:p>
        </w:tc>
        <w:tc>
          <w:tcPr>
            <w:tcW w:w="1412" w:type="dxa"/>
            <w:vMerge w:val="continue"/>
            <w:tcBorders>
              <w:left w:val="nil"/>
              <w:right w:val="single" w:color="auto" w:sz="4" w:space="0"/>
            </w:tcBorders>
            <w:noWrap w:val="0"/>
            <w:vAlign w:val="center"/>
          </w:tcPr>
          <w:p>
            <w:pPr>
              <w:adjustRightInd w:val="0"/>
              <w:snapToGrid w:val="0"/>
              <w:spacing w:line="280" w:lineRule="exact"/>
              <w:ind w:left="-63" w:leftChars="-30" w:right="-63" w:rightChars="-30"/>
              <w:rPr>
                <w:rFonts w:hint="eastAsia" w:ascii="宋体" w:hAnsi="宋体" w:cs="Calibri"/>
                <w:szCs w:val="21"/>
              </w:rPr>
            </w:pP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福田区政府</w:t>
            </w:r>
          </w:p>
        </w:tc>
      </w:tr>
      <w:tr>
        <w:tblPrEx>
          <w:tblLayout w:type="fixed"/>
          <w:tblCellMar>
            <w:top w:w="0" w:type="dxa"/>
            <w:left w:w="108" w:type="dxa"/>
            <w:bottom w:w="0" w:type="dxa"/>
            <w:right w:w="108" w:type="dxa"/>
          </w:tblCellMar>
        </w:tblPrEx>
        <w:trPr>
          <w:trHeight w:val="284" w:hRule="atLeast"/>
          <w:jc w:val="center"/>
        </w:trPr>
        <w:tc>
          <w:tcPr>
            <w:tcW w:w="534" w:type="dxa"/>
            <w:vMerge w:val="continue"/>
            <w:tcBorders>
              <w:left w:val="single" w:color="auto" w:sz="4" w:space="0"/>
              <w:right w:val="single" w:color="auto" w:sz="4" w:space="0"/>
            </w:tcBorders>
            <w:noWrap w:val="0"/>
            <w:vAlign w:val="center"/>
          </w:tcPr>
          <w:p>
            <w:pPr>
              <w:spacing w:line="280" w:lineRule="exact"/>
              <w:ind w:left="-63" w:leftChars="-30" w:right="-63" w:rightChars="-30"/>
              <w:jc w:val="center"/>
              <w:rPr>
                <w:rFonts w:hint="eastAsia" w:ascii="宋体" w:hAnsi="宋体" w:cs="Calibri"/>
                <w:szCs w:val="21"/>
              </w:rPr>
            </w:pP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护理型床位14773张</w:t>
            </w:r>
          </w:p>
        </w:tc>
        <w:tc>
          <w:tcPr>
            <w:tcW w:w="1186" w:type="dxa"/>
            <w:vMerge w:val="continue"/>
            <w:tcBorders>
              <w:left w:val="nil"/>
              <w:right w:val="single" w:color="auto" w:sz="4" w:space="0"/>
            </w:tcBorders>
            <w:noWrap w:val="0"/>
            <w:vAlign w:val="center"/>
          </w:tcPr>
          <w:p>
            <w:pPr>
              <w:adjustRightInd w:val="0"/>
              <w:snapToGrid w:val="0"/>
              <w:spacing w:line="280" w:lineRule="exact"/>
              <w:ind w:left="-63" w:leftChars="-30" w:right="-63" w:rightChars="-30"/>
              <w:rPr>
                <w:rFonts w:hint="eastAsia" w:ascii="宋体" w:hAnsi="宋体" w:cs="Calibri"/>
                <w:szCs w:val="21"/>
              </w:rPr>
            </w:pPr>
          </w:p>
        </w:tc>
        <w:tc>
          <w:tcPr>
            <w:tcW w:w="1412" w:type="dxa"/>
            <w:vMerge w:val="continue"/>
            <w:tcBorders>
              <w:left w:val="nil"/>
              <w:right w:val="single" w:color="auto" w:sz="4" w:space="0"/>
            </w:tcBorders>
            <w:noWrap w:val="0"/>
            <w:vAlign w:val="center"/>
          </w:tcPr>
          <w:p>
            <w:pPr>
              <w:adjustRightInd w:val="0"/>
              <w:snapToGrid w:val="0"/>
              <w:spacing w:line="280" w:lineRule="exact"/>
              <w:ind w:left="-63" w:leftChars="-30" w:right="-63" w:rightChars="-30"/>
              <w:rPr>
                <w:rFonts w:hint="eastAsia" w:ascii="宋体" w:hAnsi="宋体" w:cs="Calibri"/>
                <w:szCs w:val="21"/>
              </w:rPr>
            </w:pP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罗湖区政府</w:t>
            </w:r>
          </w:p>
        </w:tc>
      </w:tr>
      <w:tr>
        <w:tblPrEx>
          <w:tblLayout w:type="fixed"/>
          <w:tblCellMar>
            <w:top w:w="0" w:type="dxa"/>
            <w:left w:w="108" w:type="dxa"/>
            <w:bottom w:w="0" w:type="dxa"/>
            <w:right w:w="108" w:type="dxa"/>
          </w:tblCellMar>
        </w:tblPrEx>
        <w:trPr>
          <w:trHeight w:val="284" w:hRule="atLeast"/>
          <w:jc w:val="center"/>
        </w:trPr>
        <w:tc>
          <w:tcPr>
            <w:tcW w:w="534" w:type="dxa"/>
            <w:vMerge w:val="continue"/>
            <w:tcBorders>
              <w:left w:val="single" w:color="auto" w:sz="4" w:space="0"/>
              <w:right w:val="single" w:color="auto" w:sz="4" w:space="0"/>
            </w:tcBorders>
            <w:noWrap w:val="0"/>
            <w:vAlign w:val="center"/>
          </w:tcPr>
          <w:p>
            <w:pPr>
              <w:spacing w:line="280" w:lineRule="exact"/>
              <w:ind w:left="-63" w:leftChars="-30" w:right="-63" w:rightChars="-30"/>
              <w:jc w:val="center"/>
              <w:rPr>
                <w:rFonts w:hint="eastAsia" w:ascii="宋体" w:hAnsi="宋体" w:cs="Calibri"/>
                <w:szCs w:val="21"/>
              </w:rPr>
            </w:pP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护理型床位1453张</w:t>
            </w:r>
          </w:p>
        </w:tc>
        <w:tc>
          <w:tcPr>
            <w:tcW w:w="1186" w:type="dxa"/>
            <w:vMerge w:val="continue"/>
            <w:tcBorders>
              <w:left w:val="nil"/>
              <w:right w:val="single" w:color="auto" w:sz="4" w:space="0"/>
            </w:tcBorders>
            <w:noWrap w:val="0"/>
            <w:vAlign w:val="center"/>
          </w:tcPr>
          <w:p>
            <w:pPr>
              <w:adjustRightInd w:val="0"/>
              <w:snapToGrid w:val="0"/>
              <w:spacing w:line="280" w:lineRule="exact"/>
              <w:ind w:left="-63" w:leftChars="-30" w:right="-63" w:rightChars="-30"/>
              <w:rPr>
                <w:rFonts w:hint="eastAsia" w:ascii="宋体" w:hAnsi="宋体" w:cs="Calibri"/>
                <w:szCs w:val="21"/>
              </w:rPr>
            </w:pPr>
          </w:p>
        </w:tc>
        <w:tc>
          <w:tcPr>
            <w:tcW w:w="1412" w:type="dxa"/>
            <w:vMerge w:val="continue"/>
            <w:tcBorders>
              <w:left w:val="nil"/>
              <w:right w:val="single" w:color="auto" w:sz="4" w:space="0"/>
            </w:tcBorders>
            <w:noWrap w:val="0"/>
            <w:vAlign w:val="center"/>
          </w:tcPr>
          <w:p>
            <w:pPr>
              <w:adjustRightInd w:val="0"/>
              <w:snapToGrid w:val="0"/>
              <w:spacing w:line="280" w:lineRule="exact"/>
              <w:ind w:left="-63" w:leftChars="-30" w:right="-63" w:rightChars="-30"/>
              <w:rPr>
                <w:rFonts w:hint="eastAsia" w:ascii="宋体" w:hAnsi="宋体" w:cs="Calibri"/>
                <w:szCs w:val="21"/>
              </w:rPr>
            </w:pP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盐田区政府</w:t>
            </w:r>
          </w:p>
        </w:tc>
      </w:tr>
      <w:tr>
        <w:tblPrEx>
          <w:tblLayout w:type="fixed"/>
          <w:tblCellMar>
            <w:top w:w="0" w:type="dxa"/>
            <w:left w:w="108" w:type="dxa"/>
            <w:bottom w:w="0" w:type="dxa"/>
            <w:right w:w="108" w:type="dxa"/>
          </w:tblCellMar>
        </w:tblPrEx>
        <w:trPr>
          <w:trHeight w:val="284" w:hRule="atLeast"/>
          <w:jc w:val="center"/>
        </w:trPr>
        <w:tc>
          <w:tcPr>
            <w:tcW w:w="534" w:type="dxa"/>
            <w:vMerge w:val="continue"/>
            <w:tcBorders>
              <w:left w:val="single" w:color="auto" w:sz="4" w:space="0"/>
              <w:right w:val="single" w:color="auto" w:sz="4" w:space="0"/>
            </w:tcBorders>
            <w:noWrap w:val="0"/>
            <w:vAlign w:val="center"/>
          </w:tcPr>
          <w:p>
            <w:pPr>
              <w:spacing w:line="280" w:lineRule="exact"/>
              <w:ind w:left="-63" w:leftChars="-30" w:right="-63" w:rightChars="-30"/>
              <w:jc w:val="center"/>
              <w:rPr>
                <w:rFonts w:hint="eastAsia" w:ascii="宋体" w:hAnsi="宋体" w:cs="Calibri"/>
                <w:szCs w:val="21"/>
              </w:rPr>
            </w:pP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护理型床位11812张</w:t>
            </w:r>
          </w:p>
        </w:tc>
        <w:tc>
          <w:tcPr>
            <w:tcW w:w="1186" w:type="dxa"/>
            <w:vMerge w:val="continue"/>
            <w:tcBorders>
              <w:left w:val="nil"/>
              <w:right w:val="single" w:color="auto" w:sz="4" w:space="0"/>
            </w:tcBorders>
            <w:noWrap w:val="0"/>
            <w:vAlign w:val="center"/>
          </w:tcPr>
          <w:p>
            <w:pPr>
              <w:adjustRightInd w:val="0"/>
              <w:snapToGrid w:val="0"/>
              <w:spacing w:line="280" w:lineRule="exact"/>
              <w:ind w:left="-63" w:leftChars="-30" w:right="-63" w:rightChars="-30"/>
              <w:rPr>
                <w:rFonts w:hint="eastAsia" w:ascii="宋体" w:hAnsi="宋体" w:cs="Calibri"/>
                <w:szCs w:val="21"/>
              </w:rPr>
            </w:pPr>
          </w:p>
        </w:tc>
        <w:tc>
          <w:tcPr>
            <w:tcW w:w="1412" w:type="dxa"/>
            <w:vMerge w:val="continue"/>
            <w:tcBorders>
              <w:left w:val="nil"/>
              <w:right w:val="single" w:color="auto" w:sz="4" w:space="0"/>
            </w:tcBorders>
            <w:noWrap w:val="0"/>
            <w:vAlign w:val="center"/>
          </w:tcPr>
          <w:p>
            <w:pPr>
              <w:adjustRightInd w:val="0"/>
              <w:snapToGrid w:val="0"/>
              <w:spacing w:line="280" w:lineRule="exact"/>
              <w:ind w:left="-63" w:leftChars="-30" w:right="-63" w:rightChars="-30"/>
              <w:rPr>
                <w:rFonts w:hint="eastAsia" w:ascii="宋体" w:hAnsi="宋体" w:cs="Calibri"/>
                <w:szCs w:val="21"/>
              </w:rPr>
            </w:pP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南山区政府</w:t>
            </w:r>
          </w:p>
        </w:tc>
      </w:tr>
      <w:tr>
        <w:tblPrEx>
          <w:tblLayout w:type="fixed"/>
          <w:tblCellMar>
            <w:top w:w="0" w:type="dxa"/>
            <w:left w:w="108" w:type="dxa"/>
            <w:bottom w:w="0" w:type="dxa"/>
            <w:right w:w="108" w:type="dxa"/>
          </w:tblCellMar>
        </w:tblPrEx>
        <w:trPr>
          <w:trHeight w:val="284" w:hRule="atLeast"/>
          <w:jc w:val="center"/>
        </w:trPr>
        <w:tc>
          <w:tcPr>
            <w:tcW w:w="534" w:type="dxa"/>
            <w:vMerge w:val="continue"/>
            <w:tcBorders>
              <w:left w:val="single" w:color="auto" w:sz="4" w:space="0"/>
              <w:right w:val="single" w:color="auto" w:sz="4" w:space="0"/>
            </w:tcBorders>
            <w:noWrap w:val="0"/>
            <w:vAlign w:val="center"/>
          </w:tcPr>
          <w:p>
            <w:pPr>
              <w:spacing w:line="280" w:lineRule="exact"/>
              <w:ind w:left="-63" w:leftChars="-30" w:right="-63" w:rightChars="-30"/>
              <w:jc w:val="center"/>
              <w:rPr>
                <w:rFonts w:hint="eastAsia" w:ascii="宋体" w:hAnsi="宋体" w:cs="Calibri"/>
                <w:szCs w:val="21"/>
              </w:rPr>
            </w:pP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护理型床位8607张</w:t>
            </w:r>
          </w:p>
        </w:tc>
        <w:tc>
          <w:tcPr>
            <w:tcW w:w="1186" w:type="dxa"/>
            <w:vMerge w:val="continue"/>
            <w:tcBorders>
              <w:left w:val="nil"/>
              <w:right w:val="single" w:color="auto" w:sz="4" w:space="0"/>
            </w:tcBorders>
            <w:noWrap w:val="0"/>
            <w:vAlign w:val="center"/>
          </w:tcPr>
          <w:p>
            <w:pPr>
              <w:adjustRightInd w:val="0"/>
              <w:snapToGrid w:val="0"/>
              <w:spacing w:line="280" w:lineRule="exact"/>
              <w:ind w:left="-63" w:leftChars="-30" w:right="-63" w:rightChars="-30"/>
              <w:rPr>
                <w:rFonts w:hint="eastAsia" w:ascii="宋体" w:hAnsi="宋体" w:cs="Calibri"/>
                <w:szCs w:val="21"/>
              </w:rPr>
            </w:pPr>
          </w:p>
        </w:tc>
        <w:tc>
          <w:tcPr>
            <w:tcW w:w="1412" w:type="dxa"/>
            <w:vMerge w:val="continue"/>
            <w:tcBorders>
              <w:left w:val="nil"/>
              <w:right w:val="single" w:color="auto" w:sz="4" w:space="0"/>
            </w:tcBorders>
            <w:noWrap w:val="0"/>
            <w:vAlign w:val="center"/>
          </w:tcPr>
          <w:p>
            <w:pPr>
              <w:adjustRightInd w:val="0"/>
              <w:snapToGrid w:val="0"/>
              <w:spacing w:line="280" w:lineRule="exact"/>
              <w:ind w:left="-63" w:leftChars="-30" w:right="-63" w:rightChars="-30"/>
              <w:rPr>
                <w:rFonts w:hint="eastAsia" w:ascii="宋体" w:hAnsi="宋体" w:cs="Calibri"/>
                <w:szCs w:val="21"/>
              </w:rPr>
            </w:pP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宝安区政府</w:t>
            </w:r>
          </w:p>
        </w:tc>
      </w:tr>
      <w:tr>
        <w:tblPrEx>
          <w:tblLayout w:type="fixed"/>
          <w:tblCellMar>
            <w:top w:w="0" w:type="dxa"/>
            <w:left w:w="108" w:type="dxa"/>
            <w:bottom w:w="0" w:type="dxa"/>
            <w:right w:w="108" w:type="dxa"/>
          </w:tblCellMar>
        </w:tblPrEx>
        <w:trPr>
          <w:trHeight w:val="284" w:hRule="atLeast"/>
          <w:jc w:val="center"/>
        </w:trPr>
        <w:tc>
          <w:tcPr>
            <w:tcW w:w="534" w:type="dxa"/>
            <w:vMerge w:val="continue"/>
            <w:tcBorders>
              <w:left w:val="single" w:color="auto" w:sz="4" w:space="0"/>
              <w:right w:val="single" w:color="auto" w:sz="4" w:space="0"/>
            </w:tcBorders>
            <w:noWrap w:val="0"/>
            <w:vAlign w:val="center"/>
          </w:tcPr>
          <w:p>
            <w:pPr>
              <w:spacing w:line="280" w:lineRule="exact"/>
              <w:ind w:left="-63" w:leftChars="-30" w:right="-63" w:rightChars="-30"/>
              <w:jc w:val="center"/>
              <w:rPr>
                <w:rFonts w:hint="eastAsia" w:ascii="宋体" w:hAnsi="宋体" w:cs="Calibri"/>
                <w:szCs w:val="21"/>
              </w:rPr>
            </w:pP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护理型床位7209张</w:t>
            </w:r>
          </w:p>
        </w:tc>
        <w:tc>
          <w:tcPr>
            <w:tcW w:w="1186" w:type="dxa"/>
            <w:vMerge w:val="continue"/>
            <w:tcBorders>
              <w:left w:val="nil"/>
              <w:right w:val="single" w:color="auto" w:sz="4" w:space="0"/>
            </w:tcBorders>
            <w:noWrap w:val="0"/>
            <w:vAlign w:val="center"/>
          </w:tcPr>
          <w:p>
            <w:pPr>
              <w:adjustRightInd w:val="0"/>
              <w:snapToGrid w:val="0"/>
              <w:spacing w:line="280" w:lineRule="exact"/>
              <w:ind w:left="-63" w:leftChars="-30" w:right="-63" w:rightChars="-30"/>
              <w:rPr>
                <w:rFonts w:hint="eastAsia" w:ascii="宋体" w:hAnsi="宋体" w:cs="Calibri"/>
                <w:szCs w:val="21"/>
              </w:rPr>
            </w:pPr>
          </w:p>
        </w:tc>
        <w:tc>
          <w:tcPr>
            <w:tcW w:w="1412" w:type="dxa"/>
            <w:vMerge w:val="continue"/>
            <w:tcBorders>
              <w:left w:val="nil"/>
              <w:right w:val="single" w:color="auto" w:sz="4" w:space="0"/>
            </w:tcBorders>
            <w:noWrap w:val="0"/>
            <w:vAlign w:val="center"/>
          </w:tcPr>
          <w:p>
            <w:pPr>
              <w:adjustRightInd w:val="0"/>
              <w:snapToGrid w:val="0"/>
              <w:spacing w:line="280" w:lineRule="exact"/>
              <w:ind w:left="-63" w:leftChars="-30" w:right="-63" w:rightChars="-30"/>
              <w:rPr>
                <w:rFonts w:hint="eastAsia" w:ascii="宋体" w:hAnsi="宋体" w:cs="Calibri"/>
                <w:szCs w:val="21"/>
              </w:rPr>
            </w:pP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龙岗区政府</w:t>
            </w:r>
          </w:p>
        </w:tc>
      </w:tr>
      <w:tr>
        <w:tblPrEx>
          <w:tblLayout w:type="fixed"/>
          <w:tblCellMar>
            <w:top w:w="0" w:type="dxa"/>
            <w:left w:w="108" w:type="dxa"/>
            <w:bottom w:w="0" w:type="dxa"/>
            <w:right w:w="108" w:type="dxa"/>
          </w:tblCellMar>
        </w:tblPrEx>
        <w:trPr>
          <w:trHeight w:val="234" w:hRule="atLeast"/>
          <w:jc w:val="center"/>
        </w:trPr>
        <w:tc>
          <w:tcPr>
            <w:tcW w:w="534" w:type="dxa"/>
            <w:vMerge w:val="continue"/>
            <w:tcBorders>
              <w:left w:val="single" w:color="auto" w:sz="4" w:space="0"/>
              <w:right w:val="single" w:color="auto" w:sz="4" w:space="0"/>
            </w:tcBorders>
            <w:noWrap w:val="0"/>
            <w:vAlign w:val="center"/>
          </w:tcPr>
          <w:p>
            <w:pPr>
              <w:spacing w:line="280" w:lineRule="exact"/>
              <w:ind w:left="-63" w:leftChars="-30" w:right="-63" w:rightChars="-30"/>
              <w:jc w:val="center"/>
              <w:rPr>
                <w:rFonts w:hint="eastAsia" w:ascii="宋体" w:hAnsi="宋体" w:cs="Calibri"/>
                <w:szCs w:val="21"/>
              </w:rPr>
            </w:pPr>
          </w:p>
        </w:tc>
        <w:tc>
          <w:tcPr>
            <w:tcW w:w="4006" w:type="dxa"/>
            <w:tcBorders>
              <w:top w:val="single" w:color="auto" w:sz="4" w:space="0"/>
              <w:left w:val="nil"/>
              <w:right w:val="single" w:color="auto" w:sz="4" w:space="0"/>
            </w:tcBorders>
            <w:noWrap w:val="0"/>
            <w:vAlign w:val="center"/>
          </w:tcPr>
          <w:p>
            <w:pPr>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护理型床位2604张</w:t>
            </w:r>
          </w:p>
        </w:tc>
        <w:tc>
          <w:tcPr>
            <w:tcW w:w="1186" w:type="dxa"/>
            <w:vMerge w:val="continue"/>
            <w:tcBorders>
              <w:left w:val="nil"/>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p>
        </w:tc>
        <w:tc>
          <w:tcPr>
            <w:tcW w:w="1412" w:type="dxa"/>
            <w:vMerge w:val="continue"/>
            <w:tcBorders>
              <w:left w:val="nil"/>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p>
        </w:tc>
        <w:tc>
          <w:tcPr>
            <w:tcW w:w="1971" w:type="dxa"/>
            <w:tcBorders>
              <w:top w:val="single" w:color="auto" w:sz="4" w:space="0"/>
              <w:left w:val="nil"/>
              <w:right w:val="single" w:color="auto" w:sz="4" w:space="0"/>
            </w:tcBorders>
            <w:noWrap w:val="0"/>
            <w:vAlign w:val="center"/>
          </w:tcPr>
          <w:p>
            <w:pPr>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龙华区政府</w:t>
            </w:r>
          </w:p>
        </w:tc>
      </w:tr>
      <w:tr>
        <w:tblPrEx>
          <w:tblLayout w:type="fixed"/>
          <w:tblCellMar>
            <w:top w:w="0" w:type="dxa"/>
            <w:left w:w="108" w:type="dxa"/>
            <w:bottom w:w="0" w:type="dxa"/>
            <w:right w:w="108" w:type="dxa"/>
          </w:tblCellMar>
        </w:tblPrEx>
        <w:trPr>
          <w:trHeight w:val="284" w:hRule="atLeast"/>
          <w:jc w:val="center"/>
        </w:trPr>
        <w:tc>
          <w:tcPr>
            <w:tcW w:w="534" w:type="dxa"/>
            <w:vMerge w:val="continue"/>
            <w:tcBorders>
              <w:left w:val="single" w:color="auto" w:sz="4" w:space="0"/>
              <w:right w:val="single" w:color="auto" w:sz="4" w:space="0"/>
            </w:tcBorders>
            <w:noWrap w:val="0"/>
            <w:vAlign w:val="center"/>
          </w:tcPr>
          <w:p>
            <w:pPr>
              <w:spacing w:line="280" w:lineRule="exact"/>
              <w:ind w:left="-63" w:leftChars="-30" w:right="-63" w:rightChars="-30"/>
              <w:jc w:val="center"/>
              <w:rPr>
                <w:rFonts w:hint="eastAsia" w:ascii="宋体" w:hAnsi="宋体" w:cs="Calibri"/>
                <w:szCs w:val="21"/>
              </w:rPr>
            </w:pP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护理型床位1316张</w:t>
            </w:r>
          </w:p>
        </w:tc>
        <w:tc>
          <w:tcPr>
            <w:tcW w:w="1186" w:type="dxa"/>
            <w:vMerge w:val="continue"/>
            <w:tcBorders>
              <w:left w:val="nil"/>
              <w:right w:val="single" w:color="auto" w:sz="4" w:space="0"/>
            </w:tcBorders>
            <w:noWrap w:val="0"/>
            <w:vAlign w:val="center"/>
          </w:tcPr>
          <w:p>
            <w:pPr>
              <w:spacing w:line="280" w:lineRule="exact"/>
              <w:ind w:left="-63" w:leftChars="-30" w:right="-63" w:rightChars="-30"/>
              <w:rPr>
                <w:rFonts w:hint="eastAsia" w:ascii="宋体" w:hAnsi="宋体" w:cs="Calibri"/>
                <w:szCs w:val="21"/>
              </w:rPr>
            </w:pPr>
          </w:p>
        </w:tc>
        <w:tc>
          <w:tcPr>
            <w:tcW w:w="1412" w:type="dxa"/>
            <w:vMerge w:val="continue"/>
            <w:tcBorders>
              <w:left w:val="nil"/>
              <w:right w:val="single" w:color="auto" w:sz="4" w:space="0"/>
            </w:tcBorders>
            <w:noWrap w:val="0"/>
            <w:vAlign w:val="center"/>
          </w:tcPr>
          <w:p>
            <w:pPr>
              <w:spacing w:line="280" w:lineRule="exact"/>
              <w:ind w:left="-63" w:leftChars="-30" w:right="-63" w:rightChars="-30"/>
              <w:rPr>
                <w:rFonts w:hint="eastAsia" w:ascii="宋体" w:hAnsi="宋体" w:cs="Calibri"/>
                <w:szCs w:val="21"/>
              </w:rPr>
            </w:pP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坪山区政府</w:t>
            </w:r>
          </w:p>
        </w:tc>
      </w:tr>
      <w:tr>
        <w:tblPrEx>
          <w:tblLayout w:type="fixed"/>
          <w:tblCellMar>
            <w:top w:w="0" w:type="dxa"/>
            <w:left w:w="108" w:type="dxa"/>
            <w:bottom w:w="0" w:type="dxa"/>
            <w:right w:w="108" w:type="dxa"/>
          </w:tblCellMar>
        </w:tblPrEx>
        <w:trPr>
          <w:trHeight w:val="284" w:hRule="atLeast"/>
          <w:jc w:val="center"/>
        </w:trPr>
        <w:tc>
          <w:tcPr>
            <w:tcW w:w="534" w:type="dxa"/>
            <w:vMerge w:val="continue"/>
            <w:tcBorders>
              <w:left w:val="single" w:color="auto" w:sz="4" w:space="0"/>
              <w:right w:val="single" w:color="auto" w:sz="4" w:space="0"/>
            </w:tcBorders>
            <w:noWrap w:val="0"/>
            <w:vAlign w:val="center"/>
          </w:tcPr>
          <w:p>
            <w:pPr>
              <w:spacing w:line="280" w:lineRule="exact"/>
              <w:ind w:left="-63" w:leftChars="-30" w:right="-63" w:rightChars="-30"/>
              <w:jc w:val="center"/>
              <w:rPr>
                <w:rFonts w:hint="eastAsia" w:ascii="宋体" w:hAnsi="宋体" w:cs="Calibri"/>
                <w:szCs w:val="21"/>
              </w:rPr>
            </w:pP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护理型床位2057张</w:t>
            </w:r>
          </w:p>
        </w:tc>
        <w:tc>
          <w:tcPr>
            <w:tcW w:w="1186" w:type="dxa"/>
            <w:vMerge w:val="continue"/>
            <w:tcBorders>
              <w:left w:val="nil"/>
              <w:right w:val="single" w:color="auto" w:sz="4" w:space="0"/>
            </w:tcBorders>
            <w:noWrap w:val="0"/>
            <w:vAlign w:val="center"/>
          </w:tcPr>
          <w:p>
            <w:pPr>
              <w:spacing w:line="280" w:lineRule="exact"/>
              <w:ind w:left="-63" w:leftChars="-30" w:right="-63" w:rightChars="-30"/>
              <w:rPr>
                <w:rFonts w:hint="eastAsia" w:ascii="宋体" w:hAnsi="宋体" w:cs="Calibri"/>
                <w:szCs w:val="21"/>
              </w:rPr>
            </w:pPr>
          </w:p>
        </w:tc>
        <w:tc>
          <w:tcPr>
            <w:tcW w:w="1412" w:type="dxa"/>
            <w:vMerge w:val="continue"/>
            <w:tcBorders>
              <w:left w:val="nil"/>
              <w:right w:val="single" w:color="auto" w:sz="4" w:space="0"/>
            </w:tcBorders>
            <w:noWrap w:val="0"/>
            <w:vAlign w:val="center"/>
          </w:tcPr>
          <w:p>
            <w:pPr>
              <w:spacing w:line="280" w:lineRule="exact"/>
              <w:ind w:left="-63" w:leftChars="-30" w:right="-63" w:rightChars="-30"/>
              <w:rPr>
                <w:rFonts w:hint="eastAsia" w:ascii="宋体" w:hAnsi="宋体" w:cs="Calibri"/>
                <w:szCs w:val="21"/>
              </w:rPr>
            </w:pP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光明区政府</w:t>
            </w:r>
          </w:p>
        </w:tc>
      </w:tr>
      <w:tr>
        <w:tblPrEx>
          <w:tblLayout w:type="fixed"/>
          <w:tblCellMar>
            <w:top w:w="0" w:type="dxa"/>
            <w:left w:w="108" w:type="dxa"/>
            <w:bottom w:w="0" w:type="dxa"/>
            <w:right w:w="108" w:type="dxa"/>
          </w:tblCellMar>
        </w:tblPrEx>
        <w:trPr>
          <w:trHeight w:val="284" w:hRule="atLeast"/>
          <w:jc w:val="center"/>
        </w:trPr>
        <w:tc>
          <w:tcPr>
            <w:tcW w:w="534" w:type="dxa"/>
            <w:vMerge w:val="continue"/>
            <w:tcBorders>
              <w:left w:val="single" w:color="auto" w:sz="4" w:space="0"/>
              <w:bottom w:val="nil"/>
              <w:right w:val="single" w:color="auto" w:sz="4" w:space="0"/>
            </w:tcBorders>
            <w:noWrap w:val="0"/>
            <w:vAlign w:val="center"/>
          </w:tcPr>
          <w:p>
            <w:pPr>
              <w:spacing w:line="280" w:lineRule="exact"/>
              <w:ind w:left="-63" w:leftChars="-30" w:right="-63" w:rightChars="-30"/>
              <w:jc w:val="center"/>
              <w:rPr>
                <w:rFonts w:hint="eastAsia" w:ascii="宋体" w:hAnsi="宋体" w:cs="Calibri"/>
                <w:szCs w:val="21"/>
              </w:rPr>
            </w:pP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护理型床位1013张</w:t>
            </w:r>
          </w:p>
        </w:tc>
        <w:tc>
          <w:tcPr>
            <w:tcW w:w="1186" w:type="dxa"/>
            <w:vMerge w:val="continue"/>
            <w:tcBorders>
              <w:left w:val="nil"/>
              <w:bottom w:val="nil"/>
              <w:right w:val="single" w:color="auto" w:sz="4" w:space="0"/>
            </w:tcBorders>
            <w:noWrap w:val="0"/>
            <w:vAlign w:val="center"/>
          </w:tcPr>
          <w:p>
            <w:pPr>
              <w:spacing w:line="280" w:lineRule="exact"/>
              <w:ind w:left="-63" w:leftChars="-30" w:right="-63" w:rightChars="-30"/>
              <w:rPr>
                <w:rFonts w:hint="eastAsia" w:ascii="宋体" w:hAnsi="宋体" w:cs="仿宋_GB2312"/>
                <w:szCs w:val="21"/>
                <w:lang w:bidi="ar"/>
              </w:rPr>
            </w:pPr>
          </w:p>
        </w:tc>
        <w:tc>
          <w:tcPr>
            <w:tcW w:w="1412" w:type="dxa"/>
            <w:vMerge w:val="continue"/>
            <w:tcBorders>
              <w:left w:val="nil"/>
              <w:bottom w:val="nil"/>
              <w:right w:val="single" w:color="auto" w:sz="4" w:space="0"/>
            </w:tcBorders>
            <w:noWrap w:val="0"/>
            <w:vAlign w:val="center"/>
          </w:tcPr>
          <w:p>
            <w:pPr>
              <w:spacing w:line="280" w:lineRule="exact"/>
              <w:ind w:left="-63" w:leftChars="-30" w:right="-63" w:rightChars="-30"/>
              <w:rPr>
                <w:rFonts w:hint="eastAsia" w:ascii="宋体" w:hAnsi="宋体" w:cs="仿宋_GB2312"/>
                <w:szCs w:val="21"/>
                <w:lang w:bidi="ar"/>
              </w:rPr>
            </w:pP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大鹏新区管委会</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13</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新建居住（小）区要严格按照《深圳市城市规划标准与准则》的规定落实社区老年人日间照料中心的建筑规模。在推进城市改造和配套基础设施建设等安居工程项目，要统筹考虑适老化设施配套建设。</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2020年底前</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市规划国土委</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市住房建设局、民政局、区政府、新区管委会</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14</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已建成居住（小）区无养老服务设施或现有设施没有达到规划和建设指标要求的，应通过购置、置换的方式配建养老服务设施。</w:t>
            </w:r>
          </w:p>
        </w:tc>
        <w:tc>
          <w:tcPr>
            <w:tcW w:w="1186" w:type="dxa"/>
            <w:tcBorders>
              <w:top w:val="single" w:color="auto" w:sz="4" w:space="0"/>
              <w:left w:val="nil"/>
              <w:bottom w:val="single" w:color="auto" w:sz="4" w:space="0"/>
              <w:right w:val="single" w:color="auto" w:sz="4" w:space="0"/>
            </w:tcBorders>
            <w:noWrap w:val="0"/>
            <w:vAlign w:val="center"/>
          </w:tcPr>
          <w:p>
            <w:pPr>
              <w:widowControl/>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2020年底前</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市民政局</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市住房建设局</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15</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做好老旧居住区缘石坡道、轮椅坡道、公共出入口、走道、楼梯等设施和部位的无障碍改造。</w:t>
            </w:r>
          </w:p>
        </w:tc>
        <w:tc>
          <w:tcPr>
            <w:tcW w:w="1186"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2020年底前</w:t>
            </w:r>
          </w:p>
        </w:tc>
        <w:tc>
          <w:tcPr>
            <w:tcW w:w="1412" w:type="dxa"/>
            <w:tcBorders>
              <w:top w:val="single" w:color="auto" w:sz="4" w:space="0"/>
              <w:left w:val="nil"/>
              <w:bottom w:val="single" w:color="auto" w:sz="4" w:space="0"/>
              <w:right w:val="single" w:color="auto" w:sz="4" w:space="0"/>
            </w:tcBorders>
            <w:noWrap w:val="0"/>
            <w:vAlign w:val="center"/>
          </w:tcPr>
          <w:p>
            <w:pPr>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市住房建设局</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市规划国土委、建筑工务署、民政局、财政委、残联、老龄办</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16</w:t>
            </w:r>
          </w:p>
        </w:tc>
        <w:tc>
          <w:tcPr>
            <w:tcW w:w="40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实施《深圳市既有住宅加装电梯规划管理规定》。</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持续实施</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市规划国土委</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pacing w:val="-6"/>
                <w:szCs w:val="21"/>
                <w:lang w:bidi="ar"/>
              </w:rPr>
              <w:t>市公安局消防监管局、</w:t>
            </w:r>
            <w:r>
              <w:rPr>
                <w:rFonts w:hint="eastAsia" w:ascii="宋体" w:hAnsi="宋体" w:cs="仿宋_GB2312"/>
                <w:szCs w:val="21"/>
                <w:lang w:bidi="ar"/>
              </w:rPr>
              <w:t>市场和质量监管委</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17</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整合街道、社区现有养老服务设施和资源，引入社会力量依托社区老年人日间照料中心布局建设新型养老综合体。发展居家养老消费券定点服务机构，每个区至少培育一家品牌连锁社区老年照料机构。</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2020年底前</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rPr>
            </w:pPr>
            <w:r>
              <w:rPr>
                <w:rFonts w:hint="eastAsia" w:ascii="宋体" w:hAnsi="宋体" w:cs="仿宋_GB2312"/>
                <w:szCs w:val="21"/>
                <w:lang w:bidi="ar"/>
              </w:rPr>
              <w:t>区政府、新区管委会</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市民政局</w:t>
            </w:r>
          </w:p>
        </w:tc>
      </w:tr>
    </w:tbl>
    <w:p>
      <w:pPr>
        <w:spacing w:line="240" w:lineRule="exact"/>
        <w:rPr>
          <w:rFonts w:hint="eastAsia"/>
        </w:rPr>
      </w:pPr>
    </w:p>
    <w:tbl>
      <w:tblPr>
        <w:tblStyle w:val="3"/>
        <w:tblW w:w="9109" w:type="dxa"/>
        <w:jc w:val="center"/>
        <w:tblInd w:w="0" w:type="dxa"/>
        <w:tblLayout w:type="fixed"/>
        <w:tblCellMar>
          <w:top w:w="0" w:type="dxa"/>
          <w:left w:w="108" w:type="dxa"/>
          <w:bottom w:w="0" w:type="dxa"/>
          <w:right w:w="108" w:type="dxa"/>
        </w:tblCellMar>
      </w:tblPr>
      <w:tblGrid>
        <w:gridCol w:w="534"/>
        <w:gridCol w:w="4006"/>
        <w:gridCol w:w="1186"/>
        <w:gridCol w:w="1412"/>
        <w:gridCol w:w="1971"/>
      </w:tblGrid>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黑体" w:hAnsi="宋体" w:eastAsia="黑体" w:cs="仿宋_GB2312"/>
                <w:szCs w:val="21"/>
              </w:rPr>
            </w:pPr>
            <w:r>
              <w:rPr>
                <w:rFonts w:hint="eastAsia" w:ascii="黑体" w:hAnsi="宋体" w:eastAsia="黑体" w:cs="仿宋_GB2312"/>
                <w:szCs w:val="21"/>
                <w:lang w:bidi="ar"/>
              </w:rPr>
              <w:t>序号</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黑体" w:hAnsi="宋体" w:eastAsia="黑体" w:cs="仿宋_GB2312"/>
                <w:szCs w:val="21"/>
              </w:rPr>
            </w:pPr>
            <w:r>
              <w:rPr>
                <w:rFonts w:hint="eastAsia" w:ascii="黑体" w:hAnsi="宋体" w:eastAsia="黑体" w:cs="仿宋_GB2312"/>
                <w:szCs w:val="21"/>
                <w:lang w:bidi="ar"/>
              </w:rPr>
              <w:t>具体工作事项</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黑体" w:hAnsi="宋体" w:eastAsia="黑体" w:cs="仿宋_GB2312"/>
                <w:szCs w:val="21"/>
              </w:rPr>
            </w:pPr>
            <w:r>
              <w:rPr>
                <w:rFonts w:hint="eastAsia" w:ascii="黑体" w:hAnsi="宋体" w:eastAsia="黑体" w:cs="仿宋_GB2312"/>
                <w:szCs w:val="21"/>
                <w:lang w:bidi="ar"/>
              </w:rPr>
              <w:t>完成时限</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黑体" w:hAnsi="宋体" w:eastAsia="黑体" w:cs="仿宋_GB2312"/>
                <w:szCs w:val="21"/>
              </w:rPr>
            </w:pPr>
            <w:r>
              <w:rPr>
                <w:rFonts w:hint="eastAsia" w:ascii="黑体" w:hAnsi="宋体" w:eastAsia="黑体" w:cs="仿宋_GB2312"/>
                <w:szCs w:val="21"/>
                <w:lang w:bidi="ar"/>
              </w:rPr>
              <w:t>主办单位</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0" w:lineRule="exact"/>
              <w:ind w:left="-63" w:leftChars="-30" w:right="-63" w:rightChars="-30"/>
              <w:jc w:val="center"/>
              <w:rPr>
                <w:rFonts w:hint="eastAsia" w:ascii="黑体" w:hAnsi="宋体" w:eastAsia="黑体" w:cs="仿宋_GB2312"/>
                <w:szCs w:val="21"/>
              </w:rPr>
            </w:pPr>
            <w:r>
              <w:rPr>
                <w:rFonts w:hint="eastAsia" w:ascii="黑体" w:hAnsi="宋体" w:eastAsia="黑体" w:cs="仿宋_GB2312"/>
                <w:szCs w:val="21"/>
                <w:lang w:bidi="ar"/>
              </w:rPr>
              <w:t>会办单位</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18</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加强养老服务标准化建设，扎实开展养老院服务质量建设专项行动。</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持续实施</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市民政局</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市公安局、卫生计生委、市场和质量监管委、老龄办、区政府、新区管委会</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19</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养老机构集体食堂食品安全量化等级达到B级以上。</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2020年底前</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市民政局</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pacing w:val="-6"/>
                <w:szCs w:val="21"/>
                <w:lang w:bidi="ar"/>
              </w:rPr>
              <w:t>市市场和质量监管委、</w:t>
            </w:r>
            <w:r>
              <w:rPr>
                <w:rFonts w:hint="eastAsia" w:ascii="宋体" w:hAnsi="宋体" w:cs="仿宋_GB2312"/>
                <w:szCs w:val="21"/>
                <w:lang w:bidi="ar"/>
              </w:rPr>
              <w:t>区政府、新区管委会</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jc w:val="center"/>
              <w:rPr>
                <w:rFonts w:hint="eastAsia" w:ascii="宋体" w:hAnsi="宋体" w:cs="仿宋_GB2312"/>
                <w:szCs w:val="21"/>
                <w:lang w:bidi="ar"/>
              </w:rPr>
            </w:pPr>
            <w:r>
              <w:rPr>
                <w:rFonts w:hint="eastAsia" w:ascii="宋体" w:hAnsi="宋体" w:cs="仿宋_GB2312"/>
                <w:szCs w:val="21"/>
                <w:lang w:bidi="ar"/>
              </w:rPr>
              <w:t>20</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对达到广东省级三星级以上标准的民办养老机构予以奖励，对符合条件的社会办医养结合机构进行资助。</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2020年底前</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市民政局</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市财政委、卫生计生委</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21</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推动医养结合，为老年人提供绿色就医通道，按国家、广东省规定扩大医疗保险支付及定点范围。</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2020年底前</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市卫生计生委</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市人力资源保障局、民政局</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22</w:t>
            </w:r>
          </w:p>
        </w:tc>
        <w:tc>
          <w:tcPr>
            <w:tcW w:w="4006" w:type="dxa"/>
            <w:tcBorders>
              <w:top w:val="single" w:color="auto" w:sz="4" w:space="0"/>
              <w:left w:val="nil"/>
              <w:bottom w:val="single" w:color="auto" w:sz="6"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研究建立长期护理保险制度。</w:t>
            </w:r>
          </w:p>
        </w:tc>
        <w:tc>
          <w:tcPr>
            <w:tcW w:w="1186" w:type="dxa"/>
            <w:tcBorders>
              <w:top w:val="single" w:color="auto" w:sz="4" w:space="0"/>
              <w:left w:val="nil"/>
              <w:bottom w:val="single" w:color="auto" w:sz="4" w:space="0"/>
              <w:right w:val="single" w:color="auto" w:sz="4" w:space="0"/>
            </w:tcBorders>
            <w:noWrap w:val="0"/>
            <w:vAlign w:val="center"/>
          </w:tcPr>
          <w:p>
            <w:pPr>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2020年底前</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市人力资源保障局</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深圳银保监局（筹）、</w:t>
            </w:r>
            <w:r>
              <w:rPr>
                <w:rFonts w:hint="eastAsia" w:ascii="宋体" w:hAnsi="宋体" w:cs="仿宋_GB2312"/>
                <w:spacing w:val="-6"/>
                <w:szCs w:val="21"/>
                <w:lang w:bidi="ar"/>
              </w:rPr>
              <w:t>市民政局、卫生计生委</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23</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发展适老金融服务。</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2020年底前</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市金融办</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深圳银保监局（筹）、</w:t>
            </w:r>
            <w:r>
              <w:rPr>
                <w:rFonts w:hint="eastAsia" w:ascii="宋体" w:hAnsi="宋体" w:cs="仿宋_GB2312"/>
                <w:spacing w:val="-4"/>
                <w:szCs w:val="21"/>
                <w:lang w:bidi="ar"/>
              </w:rPr>
              <w:t>人民银行深圳市中心支</w:t>
            </w:r>
            <w:r>
              <w:rPr>
                <w:rFonts w:hint="eastAsia" w:ascii="宋体" w:hAnsi="宋体" w:cs="仿宋_GB2312"/>
                <w:szCs w:val="21"/>
                <w:lang w:bidi="ar"/>
              </w:rPr>
              <w:t>行</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24</w:t>
            </w:r>
          </w:p>
        </w:tc>
        <w:tc>
          <w:tcPr>
            <w:tcW w:w="4006" w:type="dxa"/>
            <w:tcBorders>
              <w:top w:val="single" w:color="auto" w:sz="4" w:space="0"/>
              <w:left w:val="nil"/>
              <w:bottom w:val="single" w:color="auto" w:sz="6"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推动更多的企业产品和服务申报纳入国家智慧健康养老产品及服务推广目录。</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持续实施</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市经贸信息委</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市卫生计生委、民政局</w:t>
            </w:r>
          </w:p>
        </w:tc>
      </w:tr>
      <w:tr>
        <w:tblPrEx>
          <w:tblLayout w:type="fixed"/>
          <w:tblCellMar>
            <w:top w:w="0" w:type="dxa"/>
            <w:left w:w="108" w:type="dxa"/>
            <w:bottom w:w="0" w:type="dxa"/>
            <w:right w:w="108" w:type="dxa"/>
          </w:tblCellMar>
        </w:tblPrEx>
        <w:trPr>
          <w:trHeight w:val="696" w:hRule="atLeast"/>
          <w:jc w:val="center"/>
        </w:trPr>
        <w:tc>
          <w:tcPr>
            <w:tcW w:w="534" w:type="dxa"/>
            <w:tcBorders>
              <w:top w:val="single" w:color="auto" w:sz="4" w:space="0"/>
              <w:left w:val="single" w:color="auto" w:sz="4" w:space="0"/>
              <w:right w:val="single" w:color="auto" w:sz="4" w:space="0"/>
            </w:tcBorders>
            <w:noWrap w:val="0"/>
            <w:vAlign w:val="center"/>
          </w:tcPr>
          <w:p>
            <w:pPr>
              <w:adjustRightInd w:val="0"/>
              <w:snapToGrid w:val="0"/>
              <w:spacing w:line="30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25</w:t>
            </w:r>
          </w:p>
        </w:tc>
        <w:tc>
          <w:tcPr>
            <w:tcW w:w="4006" w:type="dxa"/>
            <w:tcBorders>
              <w:top w:val="single" w:color="auto" w:sz="6" w:space="0"/>
              <w:left w:val="nil"/>
              <w:right w:val="single" w:color="auto" w:sz="6" w:space="0"/>
            </w:tcBorders>
            <w:noWrap w:val="0"/>
            <w:vAlign w:val="center"/>
          </w:tcPr>
          <w:p>
            <w:pPr>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全面实施老年照护需求评估，完善相关财政补贴机制。</w:t>
            </w:r>
          </w:p>
        </w:tc>
        <w:tc>
          <w:tcPr>
            <w:tcW w:w="1186" w:type="dxa"/>
            <w:tcBorders>
              <w:top w:val="single" w:color="auto" w:sz="4" w:space="0"/>
              <w:left w:val="nil"/>
              <w:right w:val="single" w:color="auto" w:sz="4" w:space="0"/>
            </w:tcBorders>
            <w:noWrap w:val="0"/>
            <w:vAlign w:val="center"/>
          </w:tcPr>
          <w:p>
            <w:pPr>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2020年底前</w:t>
            </w:r>
          </w:p>
        </w:tc>
        <w:tc>
          <w:tcPr>
            <w:tcW w:w="1412" w:type="dxa"/>
            <w:tcBorders>
              <w:top w:val="single" w:color="auto" w:sz="4" w:space="0"/>
              <w:left w:val="nil"/>
              <w:right w:val="single" w:color="auto" w:sz="4" w:space="0"/>
            </w:tcBorders>
            <w:noWrap w:val="0"/>
            <w:vAlign w:val="center"/>
          </w:tcPr>
          <w:p>
            <w:pPr>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市民政局</w:t>
            </w:r>
          </w:p>
        </w:tc>
        <w:tc>
          <w:tcPr>
            <w:tcW w:w="1971" w:type="dxa"/>
            <w:tcBorders>
              <w:top w:val="single" w:color="auto" w:sz="4" w:space="0"/>
              <w:left w:val="nil"/>
              <w:right w:val="single" w:color="auto" w:sz="4" w:space="0"/>
            </w:tcBorders>
            <w:noWrap w:val="0"/>
            <w:vAlign w:val="center"/>
          </w:tcPr>
          <w:p>
            <w:pPr>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市卫生计生委、财政委、区政府、新区管委会</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26</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制定本市养老服务人才队伍建设实施意见。</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2020年底前</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市民政局</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市财政委、人力资源保障局、教育局</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27</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建设深圳市智慧养老综合服务平台。</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2020年底前</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市民政局</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市发展改革委、经贸信息委、区政府、新区管委会</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28</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完善土地支持政策。</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2020年底前</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市规划国土委</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市民政局、区政府、新区管委会</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29</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促进行业信用建设。</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2020年底前</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市民政局</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市发展改革委、人民</w:t>
            </w:r>
            <w:r>
              <w:rPr>
                <w:rFonts w:hint="eastAsia" w:ascii="宋体" w:hAnsi="宋体" w:cs="仿宋_GB2312"/>
                <w:spacing w:val="-6"/>
                <w:szCs w:val="21"/>
                <w:lang w:bidi="ar"/>
              </w:rPr>
              <w:t>银行深圳市中心支行、</w:t>
            </w:r>
            <w:r>
              <w:rPr>
                <w:rFonts w:hint="eastAsia" w:ascii="宋体" w:hAnsi="宋体" w:cs="仿宋_GB2312"/>
                <w:szCs w:val="21"/>
                <w:lang w:bidi="ar"/>
              </w:rPr>
              <w:t>市场和质量监督委、区政府、新区管委会</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30</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建立市级跨部门的联合监管和联合执法机制。</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2020年底前</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市民政局</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市各职能部门，区政府、新区管委会</w:t>
            </w:r>
          </w:p>
        </w:tc>
      </w:tr>
      <w:tr>
        <w:tblPrEx>
          <w:tblLayout w:type="fixed"/>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jc w:val="center"/>
              <w:rPr>
                <w:rFonts w:hint="eastAsia" w:ascii="宋体" w:hAnsi="宋体" w:cs="仿宋_GB2312"/>
                <w:szCs w:val="21"/>
              </w:rPr>
            </w:pPr>
            <w:r>
              <w:rPr>
                <w:rFonts w:hint="eastAsia" w:ascii="宋体" w:hAnsi="宋体" w:cs="仿宋_GB2312"/>
                <w:szCs w:val="21"/>
                <w:lang w:bidi="ar"/>
              </w:rPr>
              <w:t>31</w:t>
            </w:r>
          </w:p>
        </w:tc>
        <w:tc>
          <w:tcPr>
            <w:tcW w:w="40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zCs w:val="21"/>
                <w:lang w:bidi="ar"/>
              </w:rPr>
              <w:t>做好养老服务领域非法集资信息监测和分析工作。</w:t>
            </w:r>
          </w:p>
        </w:tc>
        <w:tc>
          <w:tcPr>
            <w:tcW w:w="11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持续推进</w:t>
            </w:r>
          </w:p>
        </w:tc>
        <w:tc>
          <w:tcPr>
            <w:tcW w:w="141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rPr>
            </w:pPr>
            <w:r>
              <w:rPr>
                <w:rFonts w:hint="eastAsia" w:ascii="宋体" w:hAnsi="宋体" w:cs="仿宋_GB2312"/>
                <w:szCs w:val="21"/>
                <w:lang w:bidi="ar"/>
              </w:rPr>
              <w:t>深圳银保监局（筹）</w:t>
            </w:r>
          </w:p>
        </w:tc>
        <w:tc>
          <w:tcPr>
            <w:tcW w:w="197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left="-63" w:leftChars="-30" w:right="-63" w:rightChars="-30"/>
              <w:rPr>
                <w:rFonts w:hint="eastAsia" w:ascii="宋体" w:hAnsi="宋体" w:cs="仿宋_GB2312"/>
                <w:szCs w:val="21"/>
                <w:lang w:bidi="ar"/>
              </w:rPr>
            </w:pPr>
            <w:r>
              <w:rPr>
                <w:rFonts w:hint="eastAsia" w:ascii="宋体" w:hAnsi="宋体" w:cs="仿宋_GB2312"/>
                <w:spacing w:val="-4"/>
                <w:szCs w:val="21"/>
                <w:lang w:bidi="ar"/>
              </w:rPr>
              <w:t>人民银行深圳市中心</w:t>
            </w:r>
            <w:r>
              <w:rPr>
                <w:rFonts w:hint="eastAsia" w:ascii="宋体" w:hAnsi="宋体" w:cs="仿宋_GB2312"/>
                <w:szCs w:val="21"/>
                <w:lang w:bidi="ar"/>
              </w:rPr>
              <w:t>支行</w:t>
            </w:r>
          </w:p>
        </w:tc>
      </w:tr>
    </w:tbl>
    <w:p>
      <w:pPr>
        <w:spacing w:line="400" w:lineRule="atLeast"/>
        <w:rPr>
          <w:rFonts w:hint="eastAsia" w:ascii="宋体" w:hAnsi="宋体" w:cs="仿宋"/>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F07BB"/>
    <w:rsid w:val="186F07BB"/>
    <w:rsid w:val="3A4A2D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2018-12-11T07:14:00Z</dcterms:created>
  <dc:creator>琉璃</dc:creator>
  <cp:lastModifiedBy>琉璃</cp:lastModifiedBy>
  <dcterms:modified xsi:type="dcterms:W3CDTF">2018-12-11T07:15:44Z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