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bookmarkStart w:id="0" w:name="_Toc492822619"/>
      <w:bookmarkStart w:id="1" w:name="_Toc13738"/>
      <w:r>
        <w:rPr>
          <w:rFonts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</w:rPr>
        <w:t>7</w:t>
      </w:r>
      <w:bookmarkStart w:id="2" w:name="_GoBack"/>
      <w:bookmarkEnd w:id="2"/>
    </w:p>
    <w:p>
      <w:pPr>
        <w:spacing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</w:t>
      </w:r>
      <w:r>
        <w:rPr>
          <w:rFonts w:ascii="宋体" w:hAnsi="宋体"/>
          <w:sz w:val="36"/>
          <w:szCs w:val="36"/>
        </w:rPr>
        <w:t>危险化学品事故应急响应分级标准</w:t>
      </w:r>
      <w:bookmarkEnd w:id="0"/>
      <w:bookmarkEnd w:id="1"/>
    </w:p>
    <w:p>
      <w:pPr>
        <w:spacing w:before="156" w:beforeLines="50" w:after="312" w:afterLines="100" w:line="400" w:lineRule="atLeast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按照危险化学品事故的可控性、严重程度和影响范围，应急响应级别原则上分为Ⅰ级、Ⅱ级、Ⅲ级、Ⅳ级。</w:t>
      </w:r>
    </w:p>
    <w:tbl>
      <w:tblPr>
        <w:tblStyle w:val="4"/>
        <w:tblW w:w="8963" w:type="dxa"/>
        <w:jc w:val="center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2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Ⅰ级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响应</w:t>
            </w:r>
          </w:p>
        </w:tc>
        <w:tc>
          <w:tcPr>
            <w:tcW w:w="8291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出现下列情况之一启动Ⅰ级响应：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1．造成30人以上死亡（含失踪），或者100人以上中毒（重伤），或者直接经济损失1亿元以上的特别重大危险化学品事故；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2．需要紧急转移安置10万人以上的危险化学品事故；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3．超出省（区、市）人民政府应急处置能力的危险化学品事故；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4．跨省级行政区、跨领域（行业和部门）的危险化学品事故；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5．国务院领导同志认为需要国务院安委会响应的危险化学品事故。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2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Ⅱ级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响应</w:t>
            </w:r>
          </w:p>
        </w:tc>
        <w:tc>
          <w:tcPr>
            <w:tcW w:w="8291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出现下列情况之一启动Ⅱ级响应：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1．造成10人以上、30人以下死亡（含失踪），或者50人以上、100人以下中毒（重伤），或者直接经济损失5000万元以上、l亿元以下的危险化学品事故；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2．超出地级以上市人民政府应急处置能力的危险化学品事故；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3．跨地级以上市行政区的危险化学品事故；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4．省政府认为有必要响应的危险化学品事故。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2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Ⅲ级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响应</w:t>
            </w:r>
          </w:p>
        </w:tc>
        <w:tc>
          <w:tcPr>
            <w:tcW w:w="8291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出现下列情况之一启动Ⅲ级响应：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1．造成3人以上、10人以下死亡（含失踪），或者10人以上、50人以下中毒（重伤），或者直接经济损失1000万元以上、5000万元以下的危险化学品事故；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2．超出区政府（新区管委会）应急处置能力的危险化学品事故；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3．发生跨区级行政区危险化学品事故；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4．地级以上市人民政府认为有必要响应的危险化学品事故。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2" w:type="dxa"/>
            <w:vAlign w:val="center"/>
          </w:tcPr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Ⅳ级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</w:t>
            </w:r>
          </w:p>
          <w:p>
            <w:pPr>
              <w:spacing w:line="320" w:lineRule="exact"/>
              <w:ind w:left="-42" w:leftChars="-20" w:right="-42" w:rightChars="-20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响应</w:t>
            </w:r>
          </w:p>
        </w:tc>
        <w:tc>
          <w:tcPr>
            <w:tcW w:w="8291" w:type="dxa"/>
            <w:vAlign w:val="center"/>
          </w:tcPr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出现下列情况之一启动Ⅳ级响应：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1．造成3人以下死亡，或者10人以下中毒（重伤），或者1000万元以下直接经济损失的危险化学品事故；</w:t>
            </w:r>
          </w:p>
          <w:p>
            <w:pPr>
              <w:spacing w:line="320" w:lineRule="exact"/>
              <w:ind w:left="-42" w:leftChars="-20" w:right="-42" w:rightChars="-2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2．各区政府（新区管委会）认为有必要响应的危险化学品事故。</w:t>
            </w:r>
          </w:p>
        </w:tc>
      </w:tr>
    </w:tbl>
    <w:p>
      <w:pPr>
        <w:spacing w:before="312" w:beforeLines="100" w:line="400" w:lineRule="atLeast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本节有关数量的表述中，“以上”含本数，“以下”不含本数。</w:t>
      </w:r>
    </w:p>
    <w:p>
      <w:pPr>
        <w:spacing w:line="400" w:lineRule="atLeast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Ⅰ级响应由国务院或国务院有关部门启动，Ⅱ级响应由省政府启动，Ⅲ级响应由地级以上市人民政府启动，Ⅳ级响应由各区政府（新区管委会）启动。</w:t>
      </w:r>
    </w:p>
    <w:p>
      <w:pPr>
        <w:spacing w:line="400" w:lineRule="atLeast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各级政府在事故超出本级应急救援处置能力时，应及时上报，请求启动更高一级应急响应，实施救援。</w:t>
      </w:r>
    </w:p>
    <w:p>
      <w:r>
        <w:rPr>
          <w:rFonts w:hint="eastAsia" w:ascii="宋体" w:hAnsi="宋体" w:cs="Arial"/>
          <w:sz w:val="24"/>
          <w:szCs w:val="24"/>
        </w:rPr>
        <w:t>需要启动Ⅰ、Ⅱ级应急响应时，市政府应先启动Ⅲ级应急响应进行先期处置。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文鼎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8557E"/>
    <w:rsid w:val="1E285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2017-12-12T08:17:00Z</dcterms:created>
  <dc:creator>琉璃</dc:creator>
  <cp:lastModifiedBy>琉璃</cp:lastModifiedBy>
  <dcterms:modified xsi:type="dcterms:W3CDTF">2017-12-12T08:18:55Z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