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atLeast"/>
        <w:rPr>
          <w:rFonts w:hint="eastAsia" w:ascii="宋体" w:hAnsi="宋体"/>
          <w:sz w:val="24"/>
          <w:szCs w:val="24"/>
        </w:rPr>
      </w:pPr>
      <w:r>
        <w:rPr>
          <w:rFonts w:hint="eastAsia" w:ascii="宋体" w:hAnsi="宋体"/>
          <w:sz w:val="24"/>
          <w:szCs w:val="24"/>
        </w:rPr>
        <w:t>附录3</w:t>
      </w:r>
    </w:p>
    <w:p>
      <w:pPr>
        <w:autoSpaceDE w:val="0"/>
        <w:autoSpaceDN w:val="0"/>
        <w:adjustRightInd w:val="0"/>
        <w:spacing w:after="156" w:afterLines="50" w:line="0" w:lineRule="atLeast"/>
        <w:jc w:val="center"/>
        <w:rPr>
          <w:rFonts w:ascii="宋体" w:hAnsi="宋体"/>
          <w:sz w:val="36"/>
          <w:szCs w:val="36"/>
        </w:rPr>
      </w:pPr>
      <w:r>
        <w:rPr>
          <w:rFonts w:hint="eastAsia" w:ascii="宋体" w:hAnsi="宋体"/>
          <w:sz w:val="36"/>
          <w:szCs w:val="36"/>
        </w:rPr>
        <w:t>相关法律条款汇总</w:t>
      </w:r>
      <w:bookmarkStart w:id="0" w:name="_GoBack"/>
      <w:bookmarkEnd w:id="0"/>
    </w:p>
    <w:tbl>
      <w:tblPr>
        <w:tblStyle w:val="3"/>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00" w:lineRule="exact"/>
              <w:ind w:left="-42" w:leftChars="-20" w:right="-42" w:rightChars="-20"/>
              <w:jc w:val="center"/>
              <w:textAlignment w:val="center"/>
              <w:rPr>
                <w:rFonts w:hint="eastAsia" w:ascii="黑体" w:hAnsi="宋体" w:eastAsia="黑体"/>
                <w:bCs/>
                <w:szCs w:val="21"/>
              </w:rPr>
            </w:pPr>
            <w:r>
              <w:rPr>
                <w:rFonts w:hint="eastAsia" w:ascii="黑体" w:hAnsi="宋体" w:eastAsia="黑体"/>
                <w:bCs/>
                <w:szCs w:val="21"/>
              </w:rPr>
              <w:t>序号</w:t>
            </w:r>
          </w:p>
        </w:tc>
        <w:tc>
          <w:tcPr>
            <w:tcW w:w="8399" w:type="dxa"/>
            <w:vAlign w:val="center"/>
          </w:tcPr>
          <w:p>
            <w:pPr>
              <w:widowControl/>
              <w:spacing w:line="300" w:lineRule="exact"/>
              <w:jc w:val="center"/>
              <w:textAlignment w:val="center"/>
              <w:rPr>
                <w:rFonts w:hint="eastAsia" w:ascii="黑体" w:hAnsi="宋体" w:eastAsia="黑体"/>
                <w:szCs w:val="21"/>
              </w:rPr>
            </w:pPr>
            <w:r>
              <w:rPr>
                <w:rFonts w:hint="eastAsia" w:ascii="黑体" w:hAnsi="宋体" w:eastAsia="黑体" w:cs="宋体"/>
                <w:bCs/>
                <w:kern w:val="0"/>
                <w:szCs w:val="21"/>
              </w:rPr>
              <w:t>法律条款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00" w:lineRule="exact"/>
              <w:ind w:left="-42" w:leftChars="-20" w:right="-42" w:rightChars="-20"/>
              <w:jc w:val="center"/>
              <w:textAlignment w:val="center"/>
              <w:rPr>
                <w:rFonts w:hint="eastAsia" w:ascii="宋体" w:hAnsi="宋体"/>
                <w:bCs/>
                <w:szCs w:val="21"/>
              </w:rPr>
            </w:pPr>
            <w:r>
              <w:rPr>
                <w:rFonts w:hint="eastAsia" w:ascii="宋体" w:hAnsi="宋体"/>
                <w:bCs/>
                <w:szCs w:val="21"/>
              </w:rPr>
              <w:t>1</w:t>
            </w:r>
          </w:p>
        </w:tc>
        <w:tc>
          <w:tcPr>
            <w:tcW w:w="8399" w:type="dxa"/>
            <w:vAlign w:val="center"/>
          </w:tcPr>
          <w:p>
            <w:pPr>
              <w:widowControl/>
              <w:spacing w:line="300" w:lineRule="exact"/>
              <w:textAlignment w:val="center"/>
              <w:rPr>
                <w:rFonts w:hint="eastAsia" w:ascii="宋体" w:hAnsi="宋体" w:cs="宋体"/>
                <w:bCs/>
                <w:kern w:val="0"/>
                <w:szCs w:val="21"/>
              </w:rPr>
            </w:pPr>
            <w:r>
              <w:rPr>
                <w:rFonts w:hint="eastAsia" w:ascii="宋体" w:hAnsi="宋体" w:cs="宋体"/>
                <w:kern w:val="0"/>
                <w:szCs w:val="21"/>
              </w:rPr>
              <w:t>《道路运输车辆动态监督管理办法》第三十六条“违反本办法的规定，道路运输企业有下列情形之一的，由县级以上道路运输管理机构责令改正。拒不改正的，处3000元以上8000元以下罚款：</w:t>
            </w:r>
          </w:p>
        </w:tc>
      </w:tr>
    </w:tbl>
    <w:p>
      <w:pPr>
        <w:spacing w:line="240" w:lineRule="exact"/>
        <w:rPr>
          <w:rFonts w:hint="eastAsia"/>
        </w:rPr>
      </w:pPr>
    </w:p>
    <w:tbl>
      <w:tblPr>
        <w:tblStyle w:val="3"/>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00" w:lineRule="exact"/>
              <w:ind w:left="-42" w:leftChars="-20" w:right="-42" w:rightChars="-20"/>
              <w:jc w:val="center"/>
              <w:textAlignment w:val="center"/>
              <w:rPr>
                <w:rFonts w:hint="eastAsia" w:ascii="黑体" w:hAnsi="宋体" w:eastAsia="黑体"/>
                <w:bCs/>
                <w:szCs w:val="21"/>
              </w:rPr>
            </w:pPr>
            <w:r>
              <w:rPr>
                <w:rFonts w:hint="eastAsia" w:ascii="黑体" w:hAnsi="宋体" w:eastAsia="黑体"/>
                <w:bCs/>
                <w:szCs w:val="21"/>
              </w:rPr>
              <w:t>序号</w:t>
            </w:r>
          </w:p>
        </w:tc>
        <w:tc>
          <w:tcPr>
            <w:tcW w:w="8399" w:type="dxa"/>
            <w:vAlign w:val="center"/>
          </w:tcPr>
          <w:p>
            <w:pPr>
              <w:widowControl/>
              <w:spacing w:line="300" w:lineRule="exact"/>
              <w:jc w:val="center"/>
              <w:textAlignment w:val="center"/>
              <w:rPr>
                <w:rFonts w:hint="eastAsia" w:ascii="黑体" w:hAnsi="宋体" w:eastAsia="黑体"/>
                <w:szCs w:val="21"/>
              </w:rPr>
            </w:pPr>
            <w:r>
              <w:rPr>
                <w:rFonts w:hint="eastAsia" w:ascii="黑体" w:hAnsi="宋体" w:eastAsia="黑体" w:cs="宋体"/>
                <w:bCs/>
                <w:kern w:val="0"/>
                <w:szCs w:val="21"/>
              </w:rPr>
              <w:t>法律条款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hint="eastAsia" w:ascii="宋体" w:hAnsi="宋体"/>
                <w:bCs/>
                <w:szCs w:val="21"/>
              </w:rPr>
            </w:pPr>
            <w:r>
              <w:rPr>
                <w:rFonts w:hint="eastAsia" w:ascii="宋体" w:hAnsi="宋体"/>
                <w:bCs/>
                <w:szCs w:val="21"/>
              </w:rPr>
              <w:t>1</w:t>
            </w:r>
          </w:p>
        </w:tc>
        <w:tc>
          <w:tcPr>
            <w:tcW w:w="8399" w:type="dxa"/>
            <w:vAlign w:val="center"/>
          </w:tcPr>
          <w:p>
            <w:pPr>
              <w:widowControl/>
              <w:spacing w:line="310" w:lineRule="exact"/>
              <w:textAlignment w:val="center"/>
              <w:rPr>
                <w:rFonts w:hint="eastAsia" w:ascii="宋体" w:hAnsi="宋体" w:cs="宋体"/>
                <w:kern w:val="0"/>
                <w:szCs w:val="21"/>
              </w:rPr>
            </w:pPr>
            <w:r>
              <w:rPr>
                <w:rFonts w:hint="eastAsia" w:ascii="宋体" w:hAnsi="宋体" w:cs="宋体"/>
                <w:kern w:val="0"/>
                <w:szCs w:val="21"/>
              </w:rPr>
              <w:t>（一）道路运输企业未使用符合标准的监控平台、监控平台未接入联网联控系统、未按规定上传道路运输车辆动态信息的；</w:t>
            </w:r>
          </w:p>
          <w:p>
            <w:pPr>
              <w:widowControl/>
              <w:spacing w:line="310" w:lineRule="exact"/>
              <w:textAlignment w:val="center"/>
              <w:rPr>
                <w:rFonts w:hint="eastAsia" w:ascii="宋体" w:hAnsi="宋体" w:cs="宋体"/>
                <w:kern w:val="0"/>
                <w:szCs w:val="21"/>
              </w:rPr>
            </w:pPr>
            <w:r>
              <w:rPr>
                <w:rFonts w:hint="eastAsia" w:ascii="宋体" w:hAnsi="宋体" w:cs="宋体"/>
                <w:kern w:val="0"/>
                <w:szCs w:val="21"/>
              </w:rPr>
              <w:t>（二）未建立或者未有效执行交通违法动态信息处理制度、对驾驶员交通违法处理率低于90%的；</w:t>
            </w:r>
          </w:p>
          <w:p>
            <w:pPr>
              <w:widowControl/>
              <w:spacing w:line="310" w:lineRule="exact"/>
              <w:textAlignment w:val="center"/>
              <w:rPr>
                <w:rFonts w:hint="eastAsia" w:ascii="宋体" w:hAnsi="宋体" w:cs="宋体"/>
                <w:kern w:val="0"/>
                <w:szCs w:val="21"/>
              </w:rPr>
            </w:pPr>
            <w:r>
              <w:rPr>
                <w:rFonts w:hint="eastAsia" w:ascii="宋体" w:hAnsi="宋体" w:cs="宋体"/>
                <w:kern w:val="0"/>
                <w:szCs w:val="21"/>
              </w:rPr>
              <w:t>（三）未按规定配备专职监控人员的。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hint="eastAsia" w:ascii="宋体" w:hAnsi="宋体"/>
                <w:bCs/>
                <w:szCs w:val="21"/>
              </w:rPr>
            </w:pPr>
            <w:r>
              <w:rPr>
                <w:rFonts w:hint="eastAsia" w:ascii="宋体" w:hAnsi="宋体"/>
                <w:bCs/>
                <w:szCs w:val="21"/>
              </w:rPr>
              <w:t>2</w:t>
            </w:r>
          </w:p>
        </w:tc>
        <w:tc>
          <w:tcPr>
            <w:tcW w:w="8399" w:type="dxa"/>
            <w:vAlign w:val="center"/>
          </w:tcPr>
          <w:p>
            <w:pPr>
              <w:widowControl/>
              <w:spacing w:line="310" w:lineRule="exact"/>
              <w:textAlignment w:val="center"/>
              <w:rPr>
                <w:rFonts w:hint="eastAsia" w:ascii="宋体" w:hAnsi="宋体" w:cs="宋体"/>
                <w:kern w:val="0"/>
                <w:szCs w:val="21"/>
              </w:rPr>
            </w:pPr>
            <w:r>
              <w:rPr>
                <w:rFonts w:hint="eastAsia" w:ascii="宋体" w:hAnsi="宋体" w:cs="宋体"/>
                <w:kern w:val="0"/>
                <w:szCs w:val="21"/>
              </w:rPr>
              <w:t>《道路运输车辆动态监督管理办法》第三十五条：道路运输管理机构对未按照要求安装卫星定位装置，或者已安装卫星定位装置但未能在联网联控系统（重型载货汽车和半挂牵引车未能在道路货运车辆公共平台）正常显示的车辆，不予发放或者审验《道路运输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hint="eastAsia" w:ascii="宋体" w:hAnsi="宋体"/>
                <w:bCs/>
                <w:kern w:val="21"/>
                <w:szCs w:val="21"/>
              </w:rPr>
            </w:pPr>
            <w:r>
              <w:rPr>
                <w:rFonts w:hint="eastAsia" w:ascii="宋体" w:hAnsi="宋体"/>
                <w:bCs/>
                <w:kern w:val="21"/>
                <w:szCs w:val="21"/>
              </w:rPr>
              <w:t>3</w:t>
            </w:r>
          </w:p>
        </w:tc>
        <w:tc>
          <w:tcPr>
            <w:tcW w:w="8399" w:type="dxa"/>
            <w:vAlign w:val="center"/>
          </w:tcPr>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广东省道路运输条例》第六十四条：违反本条例规定，有下列情形之一的，由县级以上人民政府交通运输主管部门责令改正，并处一千元以上三千元以下的罚款；情节严重的，由原许可机关吊销道路运输经营许可证或者相应的经营许可:</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（一）客运经营者未按照规定为运输车辆配备驾驶员的或者在运行途中强迫、诱骗旅客下车的；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（二）班车客运经营者、直通港澳班车客运经营者未按照规定的线路、口岸、班次或者停靠站点经营的；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（三）包车客运经营者、直通港澳包车客运经营者未核实包车的真实性或者招揽包车合同外的旅客乘车的；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（四）包车客运经营者、直通港澳包车客运经营者不能提供有效包车合同的；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（五）客运包车线路两端均不在车籍所在地的；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（六）直通港澳运输车辆从事境内区间的道路运输经营的；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（七）未按照规定使用卫星定位汽车行驶记录仪实时传送相关数据的；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（八）机动车维修经营者编造维修理由误导消费或者虚列维修项目的。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ascii="宋体" w:hAnsi="宋体" w:cs="宋体"/>
                <w:kern w:val="21"/>
                <w:szCs w:val="21"/>
              </w:rPr>
            </w:pPr>
            <w:r>
              <w:rPr>
                <w:rFonts w:hint="eastAsia" w:ascii="宋体" w:hAnsi="宋体" w:cs="宋体"/>
                <w:kern w:val="21"/>
                <w:szCs w:val="21"/>
              </w:rPr>
              <w:t>4</w:t>
            </w:r>
          </w:p>
        </w:tc>
        <w:tc>
          <w:tcPr>
            <w:tcW w:w="8399" w:type="dxa"/>
            <w:vAlign w:val="center"/>
          </w:tcPr>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《道路运输车辆动态监督管理办法》第三十八条：违反本办法的规定，有下列情形之一的，由县级以上道路运输管理机构责令改正，处2000元以上5000元以下罚款：</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（一）破坏卫星定位装置以及恶意人为干扰、屏蔽卫星定位装置信号的；</w:t>
            </w:r>
          </w:p>
          <w:p>
            <w:pPr>
              <w:widowControl/>
              <w:spacing w:line="310" w:lineRule="exact"/>
              <w:textAlignment w:val="center"/>
              <w:rPr>
                <w:rFonts w:ascii="宋体" w:hAnsi="宋体"/>
                <w:kern w:val="21"/>
                <w:szCs w:val="21"/>
              </w:rPr>
            </w:pPr>
            <w:r>
              <w:rPr>
                <w:rFonts w:hint="eastAsia" w:ascii="宋体" w:hAnsi="宋体" w:cs="宋体"/>
                <w:kern w:val="21"/>
                <w:szCs w:val="21"/>
              </w:rPr>
              <w:t>（二）伪造、篡改、删除车辆动态监控数据的。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ascii="宋体" w:hAnsi="宋体" w:cs="宋体"/>
                <w:kern w:val="21"/>
                <w:szCs w:val="21"/>
              </w:rPr>
            </w:pPr>
            <w:r>
              <w:rPr>
                <w:rFonts w:hint="eastAsia" w:ascii="宋体" w:hAnsi="宋体" w:cs="宋体"/>
                <w:kern w:val="21"/>
                <w:szCs w:val="21"/>
              </w:rPr>
              <w:t>5</w:t>
            </w:r>
          </w:p>
        </w:tc>
        <w:tc>
          <w:tcPr>
            <w:tcW w:w="8399" w:type="dxa"/>
            <w:vAlign w:val="center"/>
          </w:tcPr>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《广东省道路运输条例》第五十五条：道路运输经营者及相关业务经营者有下列情形之一，不再具备安全生产条件的，原审批机关应当撤销其原批准:</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（一）不具备原许可条件的；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（二）存在重大安全隐患经整改仍不合格的。</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道路运输经营者及相关业务经营者有下列情形之一的，审批机关可以撤销其相应的批准:</w:t>
            </w:r>
          </w:p>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（一）发生一次死亡三人以上且负有主要以上责任的道路交通安全事故的；</w:t>
            </w:r>
          </w:p>
          <w:p>
            <w:pPr>
              <w:widowControl/>
              <w:spacing w:line="310" w:lineRule="exact"/>
              <w:textAlignment w:val="center"/>
              <w:rPr>
                <w:rFonts w:ascii="宋体" w:hAnsi="宋体"/>
                <w:kern w:val="21"/>
                <w:szCs w:val="21"/>
              </w:rPr>
            </w:pPr>
            <w:r>
              <w:rPr>
                <w:rFonts w:hint="eastAsia" w:ascii="宋体" w:hAnsi="宋体" w:cs="宋体"/>
                <w:kern w:val="21"/>
                <w:szCs w:val="21"/>
              </w:rPr>
              <w:t>（二）车辆严重超速、超载行驶等违法违规行为被交通运输主管部门连续三次通报或者严重危及行车安全被省交通运输主管部门通报的。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ascii="宋体" w:hAnsi="宋体" w:cs="宋体"/>
                <w:kern w:val="21"/>
                <w:szCs w:val="21"/>
              </w:rPr>
            </w:pPr>
            <w:r>
              <w:rPr>
                <w:rFonts w:hint="eastAsia" w:ascii="宋体" w:hAnsi="宋体" w:cs="宋体"/>
                <w:kern w:val="21"/>
                <w:szCs w:val="21"/>
              </w:rPr>
              <w:t>6</w:t>
            </w:r>
          </w:p>
        </w:tc>
        <w:tc>
          <w:tcPr>
            <w:tcW w:w="8399" w:type="dxa"/>
            <w:vAlign w:val="center"/>
          </w:tcPr>
          <w:p>
            <w:pPr>
              <w:widowControl/>
              <w:spacing w:line="310" w:lineRule="exact"/>
              <w:textAlignment w:val="center"/>
              <w:rPr>
                <w:rFonts w:ascii="宋体" w:hAnsi="宋体"/>
                <w:kern w:val="21"/>
                <w:szCs w:val="21"/>
              </w:rPr>
            </w:pPr>
            <w:r>
              <w:rPr>
                <w:rFonts w:hint="eastAsia" w:ascii="宋体" w:hAnsi="宋体" w:cs="宋体"/>
                <w:kern w:val="21"/>
                <w:szCs w:val="21"/>
              </w:rPr>
              <w:t>《道路运输车辆动态监督管理办法》第三十七条：违反本办法的规定，道路运输经营者使用卫星定位装置出现故障不能保持在线的运输车辆从事经营活动的，由县级以上道路运输管理机构责令改正。拒不改正的，处800元罚款。</w:t>
            </w:r>
          </w:p>
        </w:tc>
      </w:tr>
    </w:tbl>
    <w:p>
      <w:pPr>
        <w:spacing w:line="240" w:lineRule="exact"/>
        <w:rPr>
          <w:rFonts w:hint="eastAsia"/>
        </w:rPr>
      </w:pPr>
    </w:p>
    <w:tbl>
      <w:tblPr>
        <w:tblStyle w:val="3"/>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00" w:lineRule="exact"/>
              <w:ind w:left="-42" w:leftChars="-20" w:right="-42" w:rightChars="-20"/>
              <w:jc w:val="center"/>
              <w:textAlignment w:val="center"/>
              <w:rPr>
                <w:rFonts w:hint="eastAsia" w:ascii="黑体" w:hAnsi="宋体" w:eastAsia="黑体"/>
                <w:bCs/>
                <w:szCs w:val="21"/>
              </w:rPr>
            </w:pPr>
            <w:r>
              <w:rPr>
                <w:rFonts w:hint="eastAsia" w:ascii="黑体" w:hAnsi="宋体" w:eastAsia="黑体"/>
                <w:bCs/>
                <w:szCs w:val="21"/>
              </w:rPr>
              <w:t>序号</w:t>
            </w:r>
          </w:p>
        </w:tc>
        <w:tc>
          <w:tcPr>
            <w:tcW w:w="8399" w:type="dxa"/>
            <w:vAlign w:val="center"/>
          </w:tcPr>
          <w:p>
            <w:pPr>
              <w:widowControl/>
              <w:spacing w:line="300" w:lineRule="exact"/>
              <w:jc w:val="center"/>
              <w:textAlignment w:val="center"/>
              <w:rPr>
                <w:rFonts w:hint="eastAsia" w:ascii="黑体" w:hAnsi="宋体" w:eastAsia="黑体"/>
                <w:szCs w:val="21"/>
              </w:rPr>
            </w:pPr>
            <w:r>
              <w:rPr>
                <w:rFonts w:hint="eastAsia" w:ascii="黑体" w:hAnsi="宋体" w:eastAsia="黑体" w:cs="宋体"/>
                <w:bCs/>
                <w:kern w:val="0"/>
                <w:szCs w:val="21"/>
              </w:rPr>
              <w:t>法律条款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ascii="宋体" w:hAnsi="宋体" w:cs="宋体"/>
                <w:kern w:val="21"/>
                <w:szCs w:val="21"/>
              </w:rPr>
            </w:pPr>
            <w:r>
              <w:rPr>
                <w:rFonts w:hint="eastAsia" w:ascii="宋体" w:hAnsi="宋体" w:cs="宋体"/>
                <w:kern w:val="21"/>
                <w:szCs w:val="21"/>
              </w:rPr>
              <w:t>7</w:t>
            </w:r>
          </w:p>
        </w:tc>
        <w:tc>
          <w:tcPr>
            <w:tcW w:w="8399" w:type="dxa"/>
            <w:vAlign w:val="center"/>
          </w:tcPr>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巡游出租汽车经营服务管理规定》第四十六条：巡游出租汽车经营者违反本规定，有下列行为之一的，由县级以上地方人民政府出租汽车行政主管部门责令改正，并处以10000元以上20000元以下罚款，构成犯罪的，依法追究刑事责任：</w:t>
            </w:r>
          </w:p>
          <w:p>
            <w:pPr>
              <w:widowControl/>
              <w:spacing w:line="310" w:lineRule="exact"/>
              <w:textAlignment w:val="center"/>
              <w:rPr>
                <w:rFonts w:hint="eastAsia" w:ascii="宋体" w:hAnsi="宋体" w:cs="宋体"/>
                <w:kern w:val="21"/>
                <w:szCs w:val="21"/>
              </w:rPr>
            </w:pPr>
            <w:r>
              <w:rPr>
                <w:rFonts w:ascii="宋体" w:hAnsi="宋体" w:cs="宋体"/>
                <w:kern w:val="21"/>
                <w:szCs w:val="21"/>
              </w:rPr>
              <w:t>（一）擅自暂停、终止全部或者部分巡游出租汽车经营的；</w:t>
            </w:r>
          </w:p>
          <w:p>
            <w:pPr>
              <w:widowControl/>
              <w:spacing w:line="310" w:lineRule="exact"/>
              <w:textAlignment w:val="center"/>
              <w:rPr>
                <w:rFonts w:hint="eastAsia" w:ascii="宋体" w:hAnsi="宋体" w:cs="宋体"/>
                <w:kern w:val="21"/>
                <w:szCs w:val="21"/>
              </w:rPr>
            </w:pPr>
            <w:r>
              <w:rPr>
                <w:rFonts w:ascii="宋体" w:hAnsi="宋体" w:cs="宋体"/>
                <w:kern w:val="21"/>
                <w:szCs w:val="21"/>
              </w:rPr>
              <w:t>（二）出租或者擅自转让巡游出租汽车车辆经营权的；</w:t>
            </w:r>
          </w:p>
          <w:p>
            <w:pPr>
              <w:widowControl/>
              <w:spacing w:line="310" w:lineRule="exact"/>
              <w:textAlignment w:val="center"/>
              <w:rPr>
                <w:rFonts w:hint="eastAsia" w:ascii="宋体" w:hAnsi="宋体" w:cs="宋体"/>
                <w:kern w:val="21"/>
                <w:szCs w:val="21"/>
              </w:rPr>
            </w:pPr>
            <w:r>
              <w:rPr>
                <w:rFonts w:ascii="宋体" w:hAnsi="宋体" w:cs="宋体"/>
                <w:kern w:val="21"/>
                <w:szCs w:val="21"/>
              </w:rPr>
              <w:t>（三）巡游出租汽车驾驶员转包经营未及时纠正的；</w:t>
            </w:r>
          </w:p>
          <w:p>
            <w:pPr>
              <w:widowControl/>
              <w:spacing w:line="310" w:lineRule="exact"/>
              <w:textAlignment w:val="center"/>
              <w:rPr>
                <w:rFonts w:hint="eastAsia" w:ascii="宋体" w:hAnsi="宋体" w:cs="宋体"/>
                <w:kern w:val="21"/>
                <w:szCs w:val="21"/>
              </w:rPr>
            </w:pPr>
            <w:r>
              <w:rPr>
                <w:rFonts w:ascii="宋体" w:hAnsi="宋体" w:cs="宋体"/>
                <w:kern w:val="21"/>
                <w:szCs w:val="21"/>
              </w:rPr>
              <w:t>（四）不按照规定保证车辆技术状况良好的；</w:t>
            </w:r>
          </w:p>
          <w:p>
            <w:pPr>
              <w:widowControl/>
              <w:spacing w:line="310" w:lineRule="exact"/>
              <w:textAlignment w:val="center"/>
              <w:rPr>
                <w:rFonts w:hint="eastAsia" w:ascii="宋体" w:hAnsi="宋体" w:cs="宋体"/>
                <w:kern w:val="21"/>
                <w:szCs w:val="21"/>
              </w:rPr>
            </w:pPr>
            <w:r>
              <w:rPr>
                <w:rFonts w:ascii="宋体" w:hAnsi="宋体" w:cs="宋体"/>
                <w:kern w:val="21"/>
                <w:szCs w:val="21"/>
              </w:rPr>
              <w:t>（五）不按照规定配置巡游出租汽车相关设备的；</w:t>
            </w:r>
          </w:p>
          <w:p>
            <w:pPr>
              <w:widowControl/>
              <w:spacing w:line="310" w:lineRule="exact"/>
              <w:textAlignment w:val="center"/>
              <w:rPr>
                <w:rFonts w:ascii="宋体" w:hAnsi="宋体" w:cs="宋体"/>
                <w:kern w:val="21"/>
                <w:szCs w:val="21"/>
              </w:rPr>
            </w:pPr>
            <w:r>
              <w:rPr>
                <w:rFonts w:ascii="宋体" w:hAnsi="宋体" w:cs="宋体"/>
                <w:kern w:val="21"/>
                <w:szCs w:val="21"/>
              </w:rPr>
              <w:t>（六）不按照规定建立并落实投诉举报制度的。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4" w:type="dxa"/>
            <w:vAlign w:val="center"/>
          </w:tcPr>
          <w:p>
            <w:pPr>
              <w:widowControl/>
              <w:spacing w:line="310" w:lineRule="exact"/>
              <w:ind w:left="-42" w:leftChars="-20" w:right="-42" w:rightChars="-20"/>
              <w:jc w:val="center"/>
              <w:textAlignment w:val="center"/>
              <w:rPr>
                <w:rFonts w:ascii="宋体" w:hAnsi="宋体" w:cs="宋体"/>
                <w:kern w:val="21"/>
                <w:szCs w:val="21"/>
              </w:rPr>
            </w:pPr>
            <w:r>
              <w:rPr>
                <w:rFonts w:hint="eastAsia" w:ascii="宋体" w:hAnsi="宋体" w:cs="宋体"/>
                <w:kern w:val="21"/>
                <w:szCs w:val="21"/>
              </w:rPr>
              <w:t>8</w:t>
            </w:r>
          </w:p>
        </w:tc>
        <w:tc>
          <w:tcPr>
            <w:tcW w:w="8399" w:type="dxa"/>
            <w:vAlign w:val="center"/>
          </w:tcPr>
          <w:p>
            <w:pPr>
              <w:widowControl/>
              <w:spacing w:line="310" w:lineRule="exact"/>
              <w:textAlignment w:val="center"/>
              <w:rPr>
                <w:rFonts w:hint="eastAsia" w:ascii="宋体" w:hAnsi="宋体" w:cs="宋体"/>
                <w:kern w:val="21"/>
                <w:szCs w:val="21"/>
              </w:rPr>
            </w:pPr>
            <w:r>
              <w:rPr>
                <w:rFonts w:hint="eastAsia" w:ascii="宋体" w:hAnsi="宋体" w:cs="宋体"/>
                <w:kern w:val="21"/>
                <w:szCs w:val="21"/>
              </w:rPr>
              <w:t>《巡游出租汽车经营服务管理规定》第四十七条：巡游出租汽车驾驶员违反本规定，有下列情形之一的，由县级以上地方人民政府出租汽车行政主管部门责令改正，并处以200元以上2000元以下罚款：</w:t>
            </w:r>
          </w:p>
          <w:p>
            <w:pPr>
              <w:widowControl/>
              <w:spacing w:line="310" w:lineRule="exact"/>
              <w:textAlignment w:val="center"/>
              <w:rPr>
                <w:rFonts w:hint="eastAsia" w:ascii="宋体" w:hAnsi="宋体" w:cs="宋体"/>
                <w:kern w:val="21"/>
                <w:szCs w:val="21"/>
              </w:rPr>
            </w:pPr>
            <w:r>
              <w:rPr>
                <w:rFonts w:ascii="宋体" w:hAnsi="宋体" w:cs="宋体"/>
                <w:kern w:val="21"/>
                <w:szCs w:val="21"/>
              </w:rPr>
              <w:t>（一）拒载、议价、途中甩客或者故意绕道行驶的；</w:t>
            </w:r>
          </w:p>
          <w:p>
            <w:pPr>
              <w:widowControl/>
              <w:spacing w:line="310" w:lineRule="exact"/>
              <w:textAlignment w:val="center"/>
              <w:rPr>
                <w:rFonts w:hint="eastAsia" w:ascii="宋体" w:hAnsi="宋体" w:cs="宋体"/>
                <w:kern w:val="21"/>
                <w:szCs w:val="21"/>
              </w:rPr>
            </w:pPr>
            <w:r>
              <w:rPr>
                <w:rFonts w:ascii="宋体" w:hAnsi="宋体" w:cs="宋体"/>
                <w:kern w:val="21"/>
                <w:szCs w:val="21"/>
              </w:rPr>
              <w:t>（二）未经乘客同意搭载其他乘客的；</w:t>
            </w:r>
          </w:p>
          <w:p>
            <w:pPr>
              <w:widowControl/>
              <w:spacing w:line="310" w:lineRule="exact"/>
              <w:textAlignment w:val="center"/>
              <w:rPr>
                <w:rFonts w:hint="eastAsia" w:ascii="宋体" w:hAnsi="宋体" w:cs="宋体"/>
                <w:kern w:val="21"/>
                <w:szCs w:val="21"/>
              </w:rPr>
            </w:pPr>
            <w:r>
              <w:rPr>
                <w:rFonts w:ascii="宋体" w:hAnsi="宋体" w:cs="宋体"/>
                <w:kern w:val="21"/>
                <w:szCs w:val="21"/>
              </w:rPr>
              <w:t>（三）不按照规定使用计程计价设备、违规收费的；</w:t>
            </w:r>
          </w:p>
          <w:p>
            <w:pPr>
              <w:widowControl/>
              <w:spacing w:line="310" w:lineRule="exact"/>
              <w:textAlignment w:val="center"/>
              <w:rPr>
                <w:rFonts w:hint="eastAsia" w:ascii="宋体" w:hAnsi="宋体" w:cs="宋体"/>
                <w:kern w:val="21"/>
                <w:szCs w:val="21"/>
              </w:rPr>
            </w:pPr>
            <w:r>
              <w:rPr>
                <w:rFonts w:ascii="宋体" w:hAnsi="宋体" w:cs="宋体"/>
                <w:kern w:val="21"/>
                <w:szCs w:val="21"/>
              </w:rPr>
              <w:t>（四）不按照规定出具相应车费票据的；</w:t>
            </w:r>
          </w:p>
          <w:p>
            <w:pPr>
              <w:widowControl/>
              <w:spacing w:line="310" w:lineRule="exact"/>
              <w:textAlignment w:val="center"/>
              <w:rPr>
                <w:rFonts w:hint="eastAsia" w:ascii="宋体" w:hAnsi="宋体" w:cs="宋体"/>
                <w:kern w:val="21"/>
                <w:szCs w:val="21"/>
              </w:rPr>
            </w:pPr>
            <w:r>
              <w:rPr>
                <w:rFonts w:ascii="宋体" w:hAnsi="宋体" w:cs="宋体"/>
                <w:kern w:val="21"/>
                <w:szCs w:val="21"/>
              </w:rPr>
              <w:t>（五）不按照规定携带道路运输证、从业资格证的；</w:t>
            </w:r>
          </w:p>
          <w:p>
            <w:pPr>
              <w:widowControl/>
              <w:spacing w:line="310" w:lineRule="exact"/>
              <w:textAlignment w:val="center"/>
              <w:rPr>
                <w:rFonts w:hint="eastAsia" w:ascii="宋体" w:hAnsi="宋体" w:cs="宋体"/>
                <w:kern w:val="21"/>
                <w:szCs w:val="21"/>
              </w:rPr>
            </w:pPr>
            <w:r>
              <w:rPr>
                <w:rFonts w:ascii="宋体" w:hAnsi="宋体" w:cs="宋体"/>
                <w:kern w:val="21"/>
                <w:szCs w:val="21"/>
              </w:rPr>
              <w:t>（六）不按照规定使用巡游出租汽车相关设备的；</w:t>
            </w:r>
          </w:p>
          <w:p>
            <w:pPr>
              <w:widowControl/>
              <w:spacing w:line="310" w:lineRule="exact"/>
              <w:textAlignment w:val="center"/>
              <w:rPr>
                <w:rFonts w:hint="eastAsia" w:ascii="宋体" w:hAnsi="宋体" w:cs="宋体"/>
                <w:kern w:val="21"/>
                <w:szCs w:val="21"/>
              </w:rPr>
            </w:pPr>
            <w:r>
              <w:rPr>
                <w:rFonts w:ascii="宋体" w:hAnsi="宋体" w:cs="宋体"/>
                <w:kern w:val="21"/>
                <w:szCs w:val="21"/>
              </w:rPr>
              <w:t>（七）接受巡游出租汽车电召任务后未履行约定的；</w:t>
            </w:r>
          </w:p>
          <w:p>
            <w:pPr>
              <w:widowControl/>
              <w:spacing w:line="310" w:lineRule="exact"/>
              <w:textAlignment w:val="center"/>
              <w:rPr>
                <w:rFonts w:ascii="宋体" w:hAnsi="宋体" w:cs="宋体"/>
                <w:kern w:val="21"/>
                <w:szCs w:val="21"/>
              </w:rPr>
            </w:pPr>
            <w:r>
              <w:rPr>
                <w:rFonts w:ascii="宋体" w:hAnsi="宋体" w:cs="宋体"/>
                <w:kern w:val="21"/>
                <w:szCs w:val="21"/>
              </w:rPr>
              <w:t>（八）不按照规定使用文明用语，车容车貌不符合要求的。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D562F"/>
    <w:rsid w:val="643D5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2017-12-05T09:23:00Z</dcterms:created>
  <dc:creator>琉璃</dc:creator>
  <cp:lastModifiedBy>琉璃</cp:lastModifiedBy>
  <dcterms:modified xsi:type="dcterms:W3CDTF">2017-12-05T09:25:05Z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