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after="156" w:afterLines="50" w:line="0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6"/>
          <w:szCs w:val="36"/>
        </w:rPr>
        <w:t>深圳市品牌展会认定指标体系</w:t>
      </w:r>
    </w:p>
    <w:bookmarkEnd w:id="0"/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7"/>
        <w:gridCol w:w="2608"/>
        <w:gridCol w:w="898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一级指标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权重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二级指标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权重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展览规模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展览总面积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20000平方米开始记分，每增加5000平方米增加2分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展览净面积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0.30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10000平方米开始记分，每增加2500平方米增加2分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境外参展商展览净面积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0.30（二选一）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500平方米开始记分，每增加200平方米增加3分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境外参展商展览净面积比例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所占的比例达5%开始记分，每增加2%增加3分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特装展览面积比例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所占的比例达30%开始记分，每增加5%增加3分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展览会营业收入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2000万元开始计分，每增加100万元增加1分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参展商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参展商总数量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300个展商开始记分，每增加100个增加2分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广东之外参展商比例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广东之外参展商占总参展商比例5%开始记分，每增加5%增加2分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境外参展商的数量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0.20（二选一）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境外参展商的数量10个开始记分，每增加10个增加3分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境外参展商的数量比例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境外参展商的数量占总数1%开始记分，每增加1%增加3分</w:t>
            </w:r>
          </w:p>
        </w:tc>
      </w:tr>
    </w:tbl>
    <w:p>
      <w:pPr>
        <w:spacing w:line="20" w:lineRule="exact"/>
        <w:rPr>
          <w:rFonts w:hint="eastAsia"/>
        </w:rPr>
      </w:pP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62"/>
        <w:gridCol w:w="2795"/>
        <w:gridCol w:w="888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一级指标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权重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二级指标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权重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参展商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0.25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pacing w:val="-3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境外参展商所代表的地区数量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0.15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参展商所代表的国家及港澳台数1个开始记分，每增加1个增加1分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pacing w:val="-3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境内参展商所代表的地区数量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境内参展商所代表的地区数1个开始记分，每增加1个增加1分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龙头企业数量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1个开始记分，每增加1个世界500强企业增2.5分；每增加一个中国驰名商标或中国名牌产品企业增1.5分；每增加1个广东省著名商标或广东省名牌产品企业增加1分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最</w:t>
            </w:r>
            <w:r>
              <w:rPr>
                <w:rFonts w:hint="eastAsia" w:ascii="宋体" w:hAnsi="宋体"/>
                <w:spacing w:val="-2"/>
                <w:szCs w:val="21"/>
              </w:rPr>
              <w:t>近三届展览会连续参展比</w:t>
            </w:r>
            <w:r>
              <w:rPr>
                <w:rFonts w:hint="eastAsia" w:ascii="宋体" w:hAnsi="宋体"/>
                <w:spacing w:val="-6"/>
                <w:szCs w:val="21"/>
              </w:rPr>
              <w:t>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0.15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40%开始计分，每增加10%增加3分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专业观众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专业观众数量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3000个专业观众开始记分，每增加3000个增加2分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观众密度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0.5人/平方米开始计分，每增1%增加2分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广东之外专业观众比例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广东之外专业观众比例2.5%开始记分，每增加2.5%增加2分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境外专业观众数量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0.20（二选一）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100个开始记分，每增加5个增加3分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境外专业观众数量比例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境外观众比例占总数0.5%开始记分，每增加0.5%增加3分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pacing w:val="-3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境外专业观众所代表国家数量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0.15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境外专业观众所代表的国家及港澳台数1个开始记分，每增加2个增加1分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pacing w:val="-3"/>
                <w:szCs w:val="21"/>
              </w:rPr>
            </w:pPr>
            <w:r>
              <w:rPr>
                <w:rFonts w:hint="eastAsia" w:ascii="宋体" w:hAnsi="宋体"/>
                <w:spacing w:val="-3"/>
                <w:szCs w:val="21"/>
              </w:rPr>
              <w:t>境内专业观众所代表地区数量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境内专业观众所代表的地区数1个开始记分，每增加2个增加1分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最近三届连续观展比例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0.15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40%开始计分，每增加10%增加2分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品牌建设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0.15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行业排名（前5）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世界排名3—15分，亚洲2—10分，中国1—5分（以企业申报，评审专家认定，择优选一项评分标准）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UFI认证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已认证计3分，未认证不计分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到场媒体数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媒体的数量2个开始记分，每增加2个增加1分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产业匹配度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1—5分，评审专家参照评审时深圳政府在线公布的重点产业目录进行评定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专业论坛数量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展览中进行与展览主题一致的专业论坛每一个记1分（以评审专家认定为准）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其他相关活动数量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展览中进行与展览主题相关的活动数量达3个开始记分，每增加1个增加1分（以评审专家认定为准）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绿色展装鼓励支持政策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0.50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申请人已制定并实施绿色展装鼓励支持政策，此项计10分。未制定，此项不计分。已制定的绿色展装鼓励支持政策是否符合绿色要求，以评审专家多数意见认定为准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展台销售均价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0.25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800元/每平方米开始记分，每增加100元/每平方米增加1分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赞助商数量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0.25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42" w:leftChars="-20" w:right="-42" w:rightChars="-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1个赞助商开始计分，每增加1个增加1分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6075"/>
    <w:rsid w:val="457A6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2017-06-27T02:38:00Z</dcterms:created>
  <dc:creator>Alice</dc:creator>
  <cp:lastModifiedBy>Alice</cp:lastModifiedBy>
  <dcterms:modified xsi:type="dcterms:W3CDTF">2017-06-27T02:38:35Z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