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A1" w:rsidRDefault="00F632A1" w:rsidP="00F632A1">
      <w:pPr>
        <w:spacing w:line="400" w:lineRule="atLeast"/>
        <w:rPr>
          <w:rFonts w:ascii="宋体" w:hAnsi="宋体"/>
          <w:color w:val="000000"/>
          <w:sz w:val="24"/>
          <w:szCs w:val="24"/>
        </w:rPr>
      </w:pPr>
      <w:r>
        <w:rPr>
          <w:rFonts w:ascii="宋体" w:hAnsi="宋体" w:hint="eastAsia"/>
          <w:color w:val="000000"/>
          <w:sz w:val="24"/>
          <w:szCs w:val="24"/>
        </w:rPr>
        <w:t>附件1</w:t>
      </w:r>
    </w:p>
    <w:p w:rsidR="00F632A1" w:rsidRDefault="00F632A1" w:rsidP="00F632A1">
      <w:pPr>
        <w:spacing w:afterLines="50" w:after="156" w:line="0" w:lineRule="atLeast"/>
        <w:jc w:val="center"/>
        <w:rPr>
          <w:rFonts w:ascii="宋体" w:hAnsi="宋体" w:cs="方正小标宋_GBK" w:hint="eastAsia"/>
          <w:sz w:val="36"/>
          <w:szCs w:val="36"/>
        </w:rPr>
      </w:pPr>
      <w:r>
        <w:rPr>
          <w:rFonts w:ascii="宋体" w:hAnsi="宋体" w:cs="方正小标宋_GBK" w:hint="eastAsia"/>
          <w:sz w:val="36"/>
          <w:szCs w:val="36"/>
        </w:rPr>
        <w:t>深圳市“散乱污危”企业（场所）</w:t>
      </w:r>
      <w:proofErr w:type="gramStart"/>
      <w:r>
        <w:rPr>
          <w:rFonts w:ascii="宋体" w:hAnsi="宋体" w:cs="方正小标宋_GBK" w:hint="eastAsia"/>
          <w:sz w:val="36"/>
          <w:szCs w:val="36"/>
        </w:rPr>
        <w:t>分类整治</w:t>
      </w:r>
      <w:proofErr w:type="gramEnd"/>
      <w:r>
        <w:rPr>
          <w:rFonts w:ascii="宋体" w:hAnsi="宋体" w:cs="方正小标宋_GBK" w:hint="eastAsia"/>
          <w:sz w:val="36"/>
          <w:szCs w:val="36"/>
        </w:rPr>
        <w:t>标准</w:t>
      </w:r>
      <w:bookmarkStart w:id="0" w:name="_GoBack"/>
      <w:bookmarkEnd w:id="0"/>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38"/>
        <w:gridCol w:w="933"/>
        <w:gridCol w:w="2880"/>
        <w:gridCol w:w="3189"/>
        <w:gridCol w:w="2009"/>
        <w:gridCol w:w="951"/>
        <w:gridCol w:w="1824"/>
      </w:tblGrid>
      <w:tr w:rsidR="00F632A1" w:rsidTr="00F632A1">
        <w:trPr>
          <w:trHeight w:val="284"/>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序号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类别</w:t>
            </w:r>
          </w:p>
        </w:tc>
        <w:tc>
          <w:tcPr>
            <w:tcW w:w="933"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定义</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整治类型</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整治依据</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指导部门</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整治要求</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整治路径</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“散”企业（场所）</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不符合产业布局规划，没有按要求进驻工业园区的规模以下企业（场所）</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不符合《深圳市城市总体规划（2010—2020）》中“工业发展与布局”和《深圳市战略新兴产业“十三五”发展规划》要求的高能耗高污染低水平（两高一低）企业（场所）</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《深圳市城市总体规划（2010—2020）》《深圳市战略新兴产业“十三五”发展规划》及相关法律法规</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市发展改革委</w:t>
            </w:r>
          </w:p>
          <w:p w:rsidR="00F632A1" w:rsidRDefault="00F632A1">
            <w:pPr>
              <w:spacing w:line="268"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市经贸信息委</w:t>
            </w:r>
          </w:p>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市规划</w:t>
            </w:r>
            <w:proofErr w:type="gramStart"/>
            <w:r>
              <w:rPr>
                <w:rFonts w:ascii="宋体" w:hAnsi="宋体" w:cs="仿宋_GB2312" w:hint="eastAsia"/>
                <w:color w:val="000000"/>
                <w:szCs w:val="21"/>
              </w:rPr>
              <w:t>国土委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整合搬迁</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组织评估—列入整合计划—确定去向—限期搬迁入园—升级改造—完善手续</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2</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位于居民集中区的工业摊点、工业小作坊</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《深圳市城市总体规划（2010—2020）》及相关法律法规</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市发展改革委</w:t>
            </w:r>
          </w:p>
          <w:p w:rsidR="00F632A1" w:rsidRDefault="00F632A1">
            <w:pPr>
              <w:spacing w:line="268"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市经贸信息委</w:t>
            </w:r>
          </w:p>
          <w:p w:rsidR="00F632A1" w:rsidRDefault="00F632A1">
            <w:pPr>
              <w:spacing w:line="268"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市规划国土委</w:t>
            </w:r>
          </w:p>
          <w:p w:rsidR="00F632A1" w:rsidRDefault="00F632A1">
            <w:pPr>
              <w:spacing w:line="268"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市市场和质量监管委</w:t>
            </w:r>
          </w:p>
          <w:p w:rsidR="00F632A1" w:rsidRDefault="00F632A1">
            <w:pPr>
              <w:spacing w:line="268"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市安全监管局</w:t>
            </w:r>
          </w:p>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市公安消防局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3</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位于一级水源保护区的企业（场所）</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《水污染防治法》第六十五条、第九十一条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市人居环境委</w:t>
            </w:r>
          </w:p>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市规划</w:t>
            </w:r>
            <w:proofErr w:type="gramStart"/>
            <w:r>
              <w:rPr>
                <w:rFonts w:ascii="宋体" w:hAnsi="宋体" w:cs="仿宋_GB2312" w:hint="eastAsia"/>
                <w:color w:val="000000"/>
                <w:szCs w:val="21"/>
              </w:rPr>
              <w:t>国土委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4</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位于基本生态控制线内的企业（场所）</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《深圳市基本生态控制线管理规定》第十一条、第十二条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市规划</w:t>
            </w:r>
            <w:proofErr w:type="gramStart"/>
            <w:r>
              <w:rPr>
                <w:rFonts w:ascii="宋体" w:hAnsi="宋体" w:cs="仿宋_GB2312" w:hint="eastAsia"/>
                <w:color w:val="000000"/>
                <w:szCs w:val="21"/>
              </w:rPr>
              <w:t>国土委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整合搬迁</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组织评估—列入整合计划—确定去向—限期搬迁入园—升级改造—完善手续</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5</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位于</w:t>
            </w:r>
            <w:r>
              <w:rPr>
                <w:rStyle w:val="a5"/>
                <w:rFonts w:cs="仿宋_GB2312" w:hint="default"/>
                <w:i w:val="0"/>
                <w:iCs w:val="0"/>
                <w:color w:val="000000"/>
                <w:szCs w:val="21"/>
                <w:shd w:val="clear" w:color="auto" w:fill="FFFFFF"/>
              </w:rPr>
              <w:t>河道</w:t>
            </w:r>
            <w:r>
              <w:rPr>
                <w:rFonts w:ascii="宋体" w:hAnsi="宋体" w:cs="仿宋_GB2312" w:hint="eastAsia"/>
                <w:color w:val="000000"/>
                <w:szCs w:val="21"/>
                <w:shd w:val="clear" w:color="auto" w:fill="FFFFFF"/>
              </w:rPr>
              <w:t>工程的保护范围控制线内的企业</w:t>
            </w:r>
            <w:r>
              <w:rPr>
                <w:rFonts w:ascii="宋体" w:hAnsi="宋体" w:cs="仿宋_GB2312" w:hint="eastAsia"/>
                <w:color w:val="000000"/>
                <w:szCs w:val="21"/>
              </w:rPr>
              <w:t>（场所）</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《深圳经济特区河道管理条例》第五条、第九条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市水务局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8" w:lineRule="exact"/>
              <w:ind w:leftChars="-30" w:left="-63" w:rightChars="-30" w:right="-63"/>
              <w:rPr>
                <w:rFonts w:ascii="宋体" w:hAnsi="宋体" w:cs="仿宋_GB2312"/>
                <w:color w:val="000000"/>
                <w:szCs w:val="21"/>
              </w:rPr>
            </w:pPr>
            <w:r>
              <w:rPr>
                <w:rFonts w:ascii="宋体" w:hAnsi="宋体" w:cs="仿宋_GB2312" w:hint="eastAsia"/>
                <w:color w:val="000000"/>
                <w:szCs w:val="21"/>
              </w:rPr>
              <w:t>整合搬迁</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组织评估—列入整合计划—确定去向—限期搬迁入园—升级改造—完善手续</w:t>
            </w:r>
          </w:p>
        </w:tc>
      </w:tr>
    </w:tbl>
    <w:p w:rsidR="00F632A1" w:rsidRDefault="00F632A1" w:rsidP="00F632A1">
      <w:pPr>
        <w:spacing w:line="240" w:lineRule="exact"/>
        <w:rPr>
          <w:rFonts w:hint="eastAsi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38"/>
        <w:gridCol w:w="933"/>
        <w:gridCol w:w="2880"/>
        <w:gridCol w:w="3189"/>
        <w:gridCol w:w="2009"/>
        <w:gridCol w:w="951"/>
        <w:gridCol w:w="1824"/>
      </w:tblGrid>
      <w:tr w:rsidR="00F632A1" w:rsidTr="00F632A1">
        <w:trPr>
          <w:trHeight w:val="284"/>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序号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类别</w:t>
            </w:r>
          </w:p>
        </w:tc>
        <w:tc>
          <w:tcPr>
            <w:tcW w:w="933"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定义</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整治类型</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整治依据</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指导部门</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整治要求</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整治路径</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6</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“乱”企业（场所）</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不符合产业政策，应办而未</w:t>
            </w:r>
            <w:r>
              <w:rPr>
                <w:rFonts w:ascii="宋体" w:hAnsi="宋体" w:cs="仿宋_GB2312" w:hint="eastAsia"/>
                <w:color w:val="000000"/>
                <w:spacing w:val="-6"/>
                <w:szCs w:val="21"/>
              </w:rPr>
              <w:t>办理发改</w:t>
            </w:r>
            <w:r>
              <w:rPr>
                <w:rFonts w:ascii="宋体" w:hAnsi="宋体" w:cs="仿宋_GB2312" w:hint="eastAsia"/>
                <w:color w:val="000000"/>
                <w:spacing w:val="-80"/>
                <w:szCs w:val="21"/>
              </w:rPr>
              <w:t>、</w:t>
            </w:r>
            <w:r>
              <w:rPr>
                <w:rFonts w:ascii="宋体" w:hAnsi="宋体" w:cs="仿宋_GB2312" w:hint="eastAsia"/>
                <w:color w:val="000000"/>
                <w:szCs w:val="21"/>
              </w:rPr>
              <w:t>经信、规划国土、环保、水务、市场监管、安全监管、街道等审批或登记手续，存在于居民集中区的工业企业、工业摊点、工业小作坊</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属于国家《产业结构调整指导目录（2011年本）（2013年修正）》中“落后生产工艺装备”的相关产业，主要涉及淘汰落后产能行业：炼铁、炼钢、焦炭、铁合金、电石、电解铝、铜冶炼、水泥（熟料及磨机）、平板玻璃、造纸、制革、印染、化纤、铅蓄电池等</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《产业结构调整指导目录（2011年本）（2013年修正）》及相关法律法规</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市发展改革委</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市经贸信息委</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7</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属于《深圳市产业结构调整优化和产业导向目录（2016年修订）》《深圳市社会投资项目准入指引目录（2014年本）》中“禁止类”产业：使用落后工艺、技术、设备，不符合排放要求的制革、电镀、印染、线路板、表面处理等项目</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《深圳市产业结构调整优化和产业导向目录（2016年修订）》《深圳市社会投资项目准入指引目录（2014年本）》及相关法律法规</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市发展改革委</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市经贸信息委</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8</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符合《深圳市产业结构调整优化和产业导向目录（2016年修订）》及《深圳市社会投资项目准入指引目录（2014年本）》，依法应办理而未办理相关审批手续或登记手续的工业企业（场所）</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《深圳市产业结构调整优化和产业导向目录（2016年修订）》《深圳市社会投资项目准入指引目录（2014年本）》及相关法律法规</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市发展改革委</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市经贸信息委</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市规划国土委</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市市场和质量监管委</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市人居环境委</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市水务局</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市安全监管局</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市公安消防局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依法查处违法行为—下达限期整治决定—完成任务后完善审批手续—纳入日常监管</w:t>
            </w:r>
          </w:p>
        </w:tc>
      </w:tr>
    </w:tbl>
    <w:p w:rsidR="00F632A1" w:rsidRDefault="00F632A1" w:rsidP="00F632A1"/>
    <w:p w:rsidR="00F632A1" w:rsidRDefault="00F632A1" w:rsidP="00F632A1"/>
    <w:p w:rsidR="00F632A1" w:rsidRDefault="00F632A1" w:rsidP="00F632A1">
      <w:pPr>
        <w:spacing w:line="240" w:lineRule="exact"/>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38"/>
        <w:gridCol w:w="933"/>
        <w:gridCol w:w="2880"/>
        <w:gridCol w:w="3189"/>
        <w:gridCol w:w="2009"/>
        <w:gridCol w:w="951"/>
        <w:gridCol w:w="1824"/>
      </w:tblGrid>
      <w:tr w:rsidR="00F632A1" w:rsidTr="00F632A1">
        <w:trPr>
          <w:trHeight w:val="284"/>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序号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类别</w:t>
            </w:r>
          </w:p>
        </w:tc>
        <w:tc>
          <w:tcPr>
            <w:tcW w:w="933"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定义</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整治类型</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整治依据</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指导部门</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整治要求</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整治路径</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9</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“污”企业（场所）</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依法应安装污染治理设施而未安装或污染治理设施不完备，不能实现稳定达标排放的企业(场所)</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有污染物排放，无环保审批手续，不符合规划布局和产业政策的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《建设项目环境保护管理条例》第十一条、第二十一条；</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《关于加强“未批先建”建设项目环境影响评价管理工作的通知》（</w:t>
            </w:r>
            <w:proofErr w:type="gramStart"/>
            <w:r>
              <w:rPr>
                <w:rFonts w:ascii="宋体" w:hAnsi="宋体" w:cs="仿宋_GB2312" w:hint="eastAsia"/>
                <w:color w:val="000000"/>
                <w:szCs w:val="21"/>
              </w:rPr>
              <w:t>环办环</w:t>
            </w:r>
            <w:proofErr w:type="gramEnd"/>
            <w:r>
              <w:rPr>
                <w:rFonts w:ascii="宋体" w:hAnsi="宋体" w:cs="仿宋_GB2312" w:hint="eastAsia"/>
                <w:color w:val="000000"/>
                <w:szCs w:val="21"/>
              </w:rPr>
              <w:t>评〔2018〕18号）第三条第二款；</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《深圳市建设项目环境影响评价审批和备案管理名录》（深人环</w:t>
            </w:r>
            <w:proofErr w:type="gramStart"/>
            <w:r>
              <w:rPr>
                <w:rFonts w:ascii="宋体" w:hAnsi="宋体" w:cs="仿宋_GB2312" w:hint="eastAsia"/>
                <w:color w:val="000000"/>
                <w:szCs w:val="21"/>
              </w:rPr>
              <w:t>规</w:t>
            </w:r>
            <w:proofErr w:type="gramEnd"/>
            <w:r>
              <w:rPr>
                <w:rFonts w:ascii="宋体" w:hAnsi="宋体" w:cs="仿宋_GB2312" w:hint="eastAsia"/>
                <w:color w:val="000000"/>
                <w:szCs w:val="21"/>
              </w:rPr>
              <w:t>〔2018〕1号）；</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市人居环境委</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市经贸信息委</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依法下达关停决定—落实“两断三清”要求（或依法责令恢复原状）</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10</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有污染物排放，无环保审批手续，符合规划布局和产业政策的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《建设项目环境保护管理条例》第十一条、第二十一条；</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《关于加强“未批先建”建设项目环境影响评价管理工作的通知》（</w:t>
            </w:r>
            <w:proofErr w:type="gramStart"/>
            <w:r>
              <w:rPr>
                <w:rFonts w:ascii="宋体" w:hAnsi="宋体" w:cs="仿宋_GB2312" w:hint="eastAsia"/>
                <w:color w:val="000000"/>
                <w:szCs w:val="21"/>
              </w:rPr>
              <w:t>环办环</w:t>
            </w:r>
            <w:proofErr w:type="gramEnd"/>
            <w:r>
              <w:rPr>
                <w:rFonts w:ascii="宋体" w:hAnsi="宋体" w:cs="仿宋_GB2312" w:hint="eastAsia"/>
                <w:color w:val="000000"/>
                <w:szCs w:val="21"/>
              </w:rPr>
              <w:t>评〔2018〕18号）第三条第一款；</w:t>
            </w:r>
          </w:p>
          <w:p w:rsidR="00F632A1" w:rsidRDefault="00F632A1">
            <w:pPr>
              <w:spacing w:line="30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《深圳市建设项目环境影响评价审批和备案管理名录》（深人环</w:t>
            </w:r>
            <w:proofErr w:type="gramStart"/>
            <w:r>
              <w:rPr>
                <w:rFonts w:ascii="宋体" w:hAnsi="宋体" w:cs="仿宋_GB2312" w:hint="eastAsia"/>
                <w:color w:val="000000"/>
                <w:szCs w:val="21"/>
              </w:rPr>
              <w:t>规</w:t>
            </w:r>
            <w:proofErr w:type="gramEnd"/>
            <w:r>
              <w:rPr>
                <w:rFonts w:ascii="宋体" w:hAnsi="宋体" w:cs="仿宋_GB2312" w:hint="eastAsia"/>
                <w:color w:val="000000"/>
                <w:szCs w:val="21"/>
              </w:rPr>
              <w:t>〔2018〕1号）；</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市人居环境委</w:t>
            </w:r>
          </w:p>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市经贸信息委</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依法查处违法行为—下达限期整治决定—完成任务后完善审批手续—纳入日常监管</w:t>
            </w:r>
          </w:p>
        </w:tc>
      </w:tr>
    </w:tbl>
    <w:p w:rsidR="00F632A1" w:rsidRDefault="00F632A1" w:rsidP="00F632A1"/>
    <w:p w:rsidR="00F632A1" w:rsidRDefault="00F632A1" w:rsidP="00F632A1">
      <w:pPr>
        <w:spacing w:line="240" w:lineRule="exact"/>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38"/>
        <w:gridCol w:w="933"/>
        <w:gridCol w:w="2880"/>
        <w:gridCol w:w="3189"/>
        <w:gridCol w:w="2009"/>
        <w:gridCol w:w="951"/>
        <w:gridCol w:w="1824"/>
      </w:tblGrid>
      <w:tr w:rsidR="00F632A1" w:rsidTr="00F632A1">
        <w:trPr>
          <w:trHeight w:val="284"/>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序号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类别</w:t>
            </w:r>
          </w:p>
        </w:tc>
        <w:tc>
          <w:tcPr>
            <w:tcW w:w="933"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定义</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整治类型</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整治依据</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指导部门</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整治要求</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整治路径</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“污”企业（场所）</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依法应安装污染治理设施而未安装或污染治理设施不完备，不能实现稳定达标排放的企业(场所)</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有污染物排放，有环保审批手续，无污染防治设施的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《水污染防治法》第三十九条；</w:t>
            </w:r>
          </w:p>
          <w:p w:rsidR="00F632A1" w:rsidRDefault="00F632A1">
            <w:pPr>
              <w:spacing w:line="270" w:lineRule="exact"/>
              <w:ind w:leftChars="-30" w:left="-63" w:rightChars="-30" w:right="-63"/>
              <w:rPr>
                <w:rFonts w:ascii="宋体" w:hAnsi="宋体" w:cs="仿宋_GB2312" w:hint="eastAsia"/>
                <w:color w:val="000000"/>
                <w:szCs w:val="21"/>
              </w:rPr>
            </w:pPr>
            <w:r>
              <w:rPr>
                <w:rFonts w:ascii="宋体" w:hAnsi="宋体" w:cs="仿宋_GB2312" w:hint="eastAsia"/>
                <w:color w:val="000000"/>
                <w:spacing w:val="-4"/>
                <w:szCs w:val="21"/>
              </w:rPr>
              <w:t>《深圳经济特区建设项目环境保护</w:t>
            </w:r>
            <w:r>
              <w:rPr>
                <w:rFonts w:ascii="宋体" w:hAnsi="宋体" w:cs="仿宋_GB2312" w:hint="eastAsia"/>
                <w:color w:val="000000"/>
                <w:szCs w:val="21"/>
              </w:rPr>
              <w:t>条例》第十九条、第四十三条；</w:t>
            </w:r>
          </w:p>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w:t>
            </w:r>
            <w:proofErr w:type="gramStart"/>
            <w:r>
              <w:rPr>
                <w:rFonts w:ascii="宋体" w:hAnsi="宋体" w:cs="仿宋_GB2312" w:hint="eastAsia"/>
                <w:color w:val="000000"/>
                <w:szCs w:val="21"/>
              </w:rPr>
              <w:t>环境委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依法查处违法行为—下达限期整治决定—完成整改任务—纳入日常监管</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12</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有污染物排放，有环保审批手续，污染治理设施不完备的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《水污染防治法》第三十九条、第八十三条第（三）项；</w:t>
            </w:r>
          </w:p>
          <w:p w:rsidR="00F632A1" w:rsidRDefault="00F632A1">
            <w:pPr>
              <w:spacing w:line="26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《大气污染防治法》第二十条、第九十九条；</w:t>
            </w:r>
          </w:p>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w:t>
            </w:r>
            <w:proofErr w:type="gramStart"/>
            <w:r>
              <w:rPr>
                <w:rFonts w:ascii="宋体" w:hAnsi="宋体" w:cs="仿宋_GB2312" w:hint="eastAsia"/>
                <w:color w:val="000000"/>
                <w:szCs w:val="21"/>
              </w:rPr>
              <w:t>环境委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依法查处违法行为—下达限期整治决定—完成整改任务—纳入日常监管</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13</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有污染物排放，有环保审批手续，污染物经治理不能达标排放的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《水污染防治法》第十条、第八十三条第（二）项；</w:t>
            </w:r>
          </w:p>
          <w:p w:rsidR="00F632A1" w:rsidRDefault="00F632A1">
            <w:pPr>
              <w:spacing w:line="26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《大气污染防治法》第十八条、第九十九条第（二）项；</w:t>
            </w:r>
          </w:p>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w:t>
            </w:r>
            <w:proofErr w:type="gramStart"/>
            <w:r>
              <w:rPr>
                <w:rFonts w:ascii="宋体" w:hAnsi="宋体" w:cs="仿宋_GB2312" w:hint="eastAsia"/>
                <w:color w:val="000000"/>
                <w:szCs w:val="21"/>
              </w:rPr>
              <w:t>环境委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依法下达关停决定（情节严重的）—落实“两断三清”要求（切断工业用电、用水，清除原料、产品、生产设备）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14</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有污染物排放，有环保审批手续，污染物排放不符合排污许可要求的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《水污染防治法》第二十一条、第八十三条第（一）项；</w:t>
            </w:r>
          </w:p>
          <w:p w:rsidR="00F632A1" w:rsidRDefault="00F632A1">
            <w:pPr>
              <w:spacing w:line="260" w:lineRule="exact"/>
              <w:ind w:leftChars="-30" w:left="-63" w:rightChars="-30" w:right="-63"/>
              <w:rPr>
                <w:rFonts w:ascii="宋体" w:hAnsi="宋体" w:cs="仿宋_GB2312" w:hint="eastAsia"/>
                <w:color w:val="000000"/>
                <w:szCs w:val="21"/>
              </w:rPr>
            </w:pPr>
            <w:r>
              <w:rPr>
                <w:rFonts w:ascii="宋体" w:hAnsi="宋体" w:cs="仿宋_GB2312" w:hint="eastAsia"/>
                <w:color w:val="000000"/>
                <w:szCs w:val="21"/>
              </w:rPr>
              <w:t>《大气污染防治法》第十九条、第九十九条第（一）项；</w:t>
            </w:r>
          </w:p>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《深圳市环境行政处罚裁量权实施标准（第五版）》“第十二章实施限制生产、停产整治以及责令停业、关闭裁量标准”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市人居</w:t>
            </w:r>
            <w:proofErr w:type="gramStart"/>
            <w:r>
              <w:rPr>
                <w:rFonts w:ascii="宋体" w:hAnsi="宋体" w:cs="仿宋_GB2312" w:hint="eastAsia"/>
                <w:color w:val="000000"/>
                <w:szCs w:val="21"/>
              </w:rPr>
              <w:t>环境委</w:t>
            </w:r>
            <w:proofErr w:type="gramEnd"/>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7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8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依法查处违法行为—下达限期整治决定—完成整改任务—纳入日常监管</w:t>
            </w:r>
          </w:p>
        </w:tc>
      </w:tr>
    </w:tbl>
    <w:p w:rsidR="00F632A1" w:rsidRDefault="00F632A1" w:rsidP="00F632A1">
      <w:pPr>
        <w:spacing w:line="240" w:lineRule="exact"/>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938"/>
        <w:gridCol w:w="933"/>
        <w:gridCol w:w="2880"/>
        <w:gridCol w:w="3189"/>
        <w:gridCol w:w="2009"/>
        <w:gridCol w:w="951"/>
        <w:gridCol w:w="1824"/>
      </w:tblGrid>
      <w:tr w:rsidR="00F632A1" w:rsidTr="00F632A1">
        <w:trPr>
          <w:trHeight w:val="284"/>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序号</w:t>
            </w:r>
          </w:p>
        </w:tc>
        <w:tc>
          <w:tcPr>
            <w:tcW w:w="938"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类别</w:t>
            </w:r>
          </w:p>
        </w:tc>
        <w:tc>
          <w:tcPr>
            <w:tcW w:w="933"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定义</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整治类型</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整治依据</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指导部门</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整治要求</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黑体" w:eastAsia="黑体" w:hAnsi="宋体" w:cs="仿宋_GB2312"/>
                <w:color w:val="000000"/>
                <w:kern w:val="0"/>
                <w:szCs w:val="21"/>
              </w:rPr>
            </w:pPr>
            <w:r>
              <w:rPr>
                <w:rFonts w:ascii="黑体" w:eastAsia="黑体" w:hAnsi="宋体" w:cs="仿宋_GB2312" w:hint="eastAsia"/>
                <w:color w:val="000000"/>
                <w:kern w:val="0"/>
                <w:szCs w:val="21"/>
              </w:rPr>
              <w:t>整治路径</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15</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“危”企业（场所）</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300" w:lineRule="exact"/>
              <w:ind w:leftChars="-30" w:left="-63" w:rightChars="-30" w:right="-63"/>
              <w:rPr>
                <w:rFonts w:ascii="宋体" w:hAnsi="宋体" w:cs="仿宋_GB2312"/>
                <w:color w:val="000000"/>
                <w:szCs w:val="21"/>
              </w:rPr>
            </w:pPr>
            <w:r>
              <w:rPr>
                <w:rFonts w:ascii="宋体" w:hAnsi="宋体" w:cs="仿宋_GB2312" w:hint="eastAsia"/>
                <w:color w:val="000000"/>
                <w:szCs w:val="21"/>
              </w:rPr>
              <w:t>不遵守安全生产法律法规，安全生产主体责任落实不到位，存在重大安全隐患的企业（场所）</w:t>
            </w: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未取得危险化学品安全生产许可证（经营许可证）擅自从事危险化学品生产（经营）活动的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《安全生产法》第九十七条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市安全监管局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16</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不具备《安全生产法》和其他有关法律、行政法规和国家标准或者行业标准规定的安全生产条件，经停产停业整顿仍不具备安全生产条件的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《安全生产法》第一百零八条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市安全监管局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17</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存在重大生产安全事故隐患的，如粉尘企业十大重点隐患问题，涉氨制冷“两类重大隐患”等</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《安全生产法》第六十二条、《工贸行业重大生产安全事故隐患判定标准》</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市安全监管局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依法查处违法行为—暂时停产停业—下达限期整治决定—完成任务后完善审批手续—纳入日常监管</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18</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存在高风险且无法有效管</w:t>
            </w:r>
            <w:proofErr w:type="gramStart"/>
            <w:r>
              <w:rPr>
                <w:rFonts w:ascii="宋体" w:hAnsi="宋体" w:cs="仿宋_GB2312" w:hint="eastAsia"/>
                <w:color w:val="000000"/>
                <w:szCs w:val="21"/>
              </w:rPr>
              <w:t>控降低</w:t>
            </w:r>
            <w:proofErr w:type="gramEnd"/>
            <w:r>
              <w:rPr>
                <w:rFonts w:ascii="宋体" w:hAnsi="宋体" w:cs="仿宋_GB2312" w:hint="eastAsia"/>
                <w:color w:val="000000"/>
                <w:szCs w:val="21"/>
              </w:rPr>
              <w:t>风险的风险点、危险源</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《安全生产法》第一百零八条、《广东省人民政府办公厅关于全省集中开展城市风险点危险源排查整治专项行动的通知》（粤办函〔2016〕406号）</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市安全监管局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关停取缔</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停产整顿，达到要求依法下达关停决定—落实“两断三清”要求（切断工业用电、用水，清除原料、产品、生产设备）</w:t>
            </w:r>
          </w:p>
        </w:tc>
      </w:tr>
      <w:tr w:rsidR="00F632A1" w:rsidTr="00F632A1">
        <w:trPr>
          <w:trHeight w:val="28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jc w:val="center"/>
              <w:rPr>
                <w:rFonts w:ascii="宋体" w:hAnsi="宋体" w:cs="仿宋_GB2312"/>
                <w:color w:val="000000"/>
                <w:szCs w:val="21"/>
              </w:rPr>
            </w:pPr>
            <w:r>
              <w:rPr>
                <w:rFonts w:ascii="宋体" w:hAnsi="宋体" w:cs="仿宋_GB2312" w:hint="eastAsia"/>
                <w:color w:val="000000"/>
                <w:szCs w:val="21"/>
              </w:rPr>
              <w:t>19</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632A1" w:rsidRDefault="00F632A1">
            <w:pPr>
              <w:widowControl/>
              <w:jc w:val="left"/>
              <w:rPr>
                <w:rFonts w:ascii="宋体" w:hAnsi="宋体" w:cs="仿宋_GB2312"/>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违反《安全生产法》有关规定，存在安全隐患或其他违法行为，责令限期改正后，逾期未改正的</w:t>
            </w:r>
          </w:p>
        </w:tc>
        <w:tc>
          <w:tcPr>
            <w:tcW w:w="318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90" w:lineRule="exact"/>
              <w:ind w:leftChars="-30" w:left="-63" w:rightChars="-30" w:right="-63"/>
              <w:rPr>
                <w:rFonts w:ascii="宋体" w:hAnsi="宋体" w:cs="仿宋_GB2312"/>
                <w:color w:val="000000"/>
                <w:szCs w:val="21"/>
              </w:rPr>
            </w:pPr>
            <w:r>
              <w:rPr>
                <w:rFonts w:ascii="宋体" w:hAnsi="宋体" w:cs="仿宋_GB2312" w:hint="eastAsia"/>
                <w:color w:val="000000"/>
                <w:szCs w:val="21"/>
              </w:rPr>
              <w:t>《安全生产法》第九十条、第九十一条、第九十四条、第九十五条、第九十六条、第九十八条、第九十九条、第一百条、第一百零一条、第一百零二条</w:t>
            </w:r>
          </w:p>
        </w:tc>
        <w:tc>
          <w:tcPr>
            <w:tcW w:w="2009"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市安全监管局</w:t>
            </w:r>
          </w:p>
        </w:tc>
        <w:tc>
          <w:tcPr>
            <w:tcW w:w="951"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升级改造</w:t>
            </w:r>
          </w:p>
        </w:tc>
        <w:tc>
          <w:tcPr>
            <w:tcW w:w="1824" w:type="dxa"/>
            <w:tcBorders>
              <w:top w:val="single" w:sz="4" w:space="0" w:color="auto"/>
              <w:left w:val="single" w:sz="4" w:space="0" w:color="auto"/>
              <w:bottom w:val="single" w:sz="4" w:space="0" w:color="auto"/>
              <w:right w:val="single" w:sz="4" w:space="0" w:color="auto"/>
            </w:tcBorders>
            <w:vAlign w:val="center"/>
            <w:hideMark/>
          </w:tcPr>
          <w:p w:rsidR="00F632A1" w:rsidRDefault="00F632A1">
            <w:pPr>
              <w:spacing w:line="260" w:lineRule="exact"/>
              <w:ind w:leftChars="-30" w:left="-63" w:rightChars="-30" w:right="-63"/>
              <w:rPr>
                <w:rFonts w:ascii="宋体" w:hAnsi="宋体" w:cs="仿宋_GB2312"/>
                <w:color w:val="000000"/>
                <w:szCs w:val="21"/>
              </w:rPr>
            </w:pPr>
            <w:r>
              <w:rPr>
                <w:rFonts w:ascii="宋体" w:hAnsi="宋体" w:cs="仿宋_GB2312" w:hint="eastAsia"/>
                <w:color w:val="000000"/>
                <w:szCs w:val="21"/>
              </w:rPr>
              <w:t>依法查处违法行为—暂时停产停业—下达限期整治决定—完成任务后完善审批手续—纳入日常监管</w:t>
            </w:r>
          </w:p>
        </w:tc>
      </w:tr>
    </w:tbl>
    <w:p w:rsidR="0008432B" w:rsidRPr="00F632A1" w:rsidRDefault="0008432B"/>
    <w:sectPr w:rsidR="0008432B" w:rsidRPr="00F632A1" w:rsidSect="00F632A1">
      <w:pgSz w:w="16838" w:h="11906" w:orient="landscape"/>
      <w:pgMar w:top="1418" w:right="1843" w:bottom="1418"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06" w:rsidRDefault="00D16B06" w:rsidP="00F632A1">
      <w:r>
        <w:separator/>
      </w:r>
    </w:p>
  </w:endnote>
  <w:endnote w:type="continuationSeparator" w:id="0">
    <w:p w:rsidR="00D16B06" w:rsidRDefault="00D16B06" w:rsidP="00F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06" w:rsidRDefault="00D16B06" w:rsidP="00F632A1">
      <w:r>
        <w:separator/>
      </w:r>
    </w:p>
  </w:footnote>
  <w:footnote w:type="continuationSeparator" w:id="0">
    <w:p w:rsidR="00D16B06" w:rsidRDefault="00D16B06" w:rsidP="00F6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A1"/>
    <w:rsid w:val="0008432B"/>
    <w:rsid w:val="00D16B06"/>
    <w:rsid w:val="00F6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2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2A1"/>
    <w:rPr>
      <w:sz w:val="18"/>
      <w:szCs w:val="18"/>
    </w:rPr>
  </w:style>
  <w:style w:type="paragraph" w:styleId="a4">
    <w:name w:val="footer"/>
    <w:basedOn w:val="a"/>
    <w:link w:val="Char0"/>
    <w:uiPriority w:val="99"/>
    <w:unhideWhenUsed/>
    <w:rsid w:val="00F632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2A1"/>
    <w:rPr>
      <w:sz w:val="18"/>
      <w:szCs w:val="18"/>
    </w:rPr>
  </w:style>
  <w:style w:type="character" w:styleId="a5">
    <w:name w:val="Emphasis"/>
    <w:qFormat/>
    <w:rsid w:val="00F632A1"/>
    <w:rPr>
      <w:rFonts w:ascii="宋体" w:eastAsia="宋体" w:hAnsi="宋体" w:hint="eastAsia"/>
      <w:i/>
      <w:iCs/>
      <w:kern w:val="36"/>
      <w:sz w:val="36"/>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2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2A1"/>
    <w:rPr>
      <w:sz w:val="18"/>
      <w:szCs w:val="18"/>
    </w:rPr>
  </w:style>
  <w:style w:type="paragraph" w:styleId="a4">
    <w:name w:val="footer"/>
    <w:basedOn w:val="a"/>
    <w:link w:val="Char0"/>
    <w:uiPriority w:val="99"/>
    <w:unhideWhenUsed/>
    <w:rsid w:val="00F632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2A1"/>
    <w:rPr>
      <w:sz w:val="18"/>
      <w:szCs w:val="18"/>
    </w:rPr>
  </w:style>
  <w:style w:type="character" w:styleId="a5">
    <w:name w:val="Emphasis"/>
    <w:qFormat/>
    <w:rsid w:val="00F632A1"/>
    <w:rPr>
      <w:rFonts w:ascii="宋体" w:eastAsia="宋体" w:hAnsi="宋体" w:hint="eastAsia"/>
      <w:i/>
      <w:iCs/>
      <w:kern w:val="36"/>
      <w:sz w:val="36"/>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1</cp:revision>
  <dcterms:created xsi:type="dcterms:W3CDTF">2018-10-16T08:00:00Z</dcterms:created>
  <dcterms:modified xsi:type="dcterms:W3CDTF">2018-10-16T08:03:00Z</dcterms:modified>
</cp:coreProperties>
</file>