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附录</w:t>
      </w:r>
      <w:r>
        <w:rPr>
          <w:rFonts w:ascii="宋体" w:hAnsi="宋体"/>
          <w:sz w:val="24"/>
          <w:szCs w:val="24"/>
        </w:rPr>
        <w:t>1</w:t>
      </w:r>
    </w:p>
    <w:p>
      <w:pPr>
        <w:autoSpaceDE w:val="0"/>
        <w:autoSpaceDN w:val="0"/>
        <w:adjustRightInd w:val="0"/>
        <w:spacing w:after="156" w:afterLines="50"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术语解释</w:t>
      </w:r>
    </w:p>
    <w:tbl>
      <w:tblPr>
        <w:tblStyle w:val="3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806"/>
        <w:gridCol w:w="465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序号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术语</w:t>
            </w:r>
          </w:p>
        </w:tc>
        <w:tc>
          <w:tcPr>
            <w:tcW w:w="46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道路旅客运输板块</w:t>
            </w:r>
          </w:p>
        </w:tc>
        <w:tc>
          <w:tcPr>
            <w:tcW w:w="19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巡游出租汽车板块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超速</w:t>
            </w:r>
          </w:p>
        </w:tc>
        <w:tc>
          <w:tcPr>
            <w:tcW w:w="46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车辆以大于</w:t>
            </w:r>
            <w:r>
              <w:rPr>
                <w:rFonts w:ascii="宋体" w:hAnsi="宋体"/>
                <w:kern w:val="0"/>
                <w:szCs w:val="21"/>
              </w:rPr>
              <w:t>100km/h的速度持续行驶超过60秒。</w:t>
            </w:r>
          </w:p>
        </w:tc>
        <w:tc>
          <w:tcPr>
            <w:tcW w:w="19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严重超速</w:t>
            </w:r>
          </w:p>
        </w:tc>
        <w:tc>
          <w:tcPr>
            <w:tcW w:w="46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车辆超速行驶期间，最高时速大于等于</w:t>
            </w:r>
            <w:r>
              <w:rPr>
                <w:rFonts w:ascii="宋体" w:hAnsi="宋体"/>
                <w:kern w:val="0"/>
                <w:szCs w:val="21"/>
              </w:rPr>
              <w:t>120km/h且小于130km/h。</w:t>
            </w:r>
          </w:p>
        </w:tc>
        <w:tc>
          <w:tcPr>
            <w:tcW w:w="19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车辆以大于</w:t>
            </w:r>
            <w:r>
              <w:rPr>
                <w:rFonts w:ascii="宋体" w:hAnsi="宋体"/>
                <w:kern w:val="0"/>
                <w:szCs w:val="21"/>
              </w:rPr>
              <w:t>120km/h的速度持续行驶超过60秒。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十分严重超速</w:t>
            </w:r>
          </w:p>
        </w:tc>
        <w:tc>
          <w:tcPr>
            <w:tcW w:w="46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车辆超速行驶期间，最高时速大于等于</w:t>
            </w:r>
            <w:r>
              <w:rPr>
                <w:rFonts w:ascii="宋体" w:hAnsi="宋体"/>
                <w:kern w:val="0"/>
                <w:szCs w:val="21"/>
              </w:rPr>
              <w:t>130km/h。</w:t>
            </w:r>
          </w:p>
        </w:tc>
        <w:tc>
          <w:tcPr>
            <w:tcW w:w="19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单车日在线率</w:t>
            </w:r>
          </w:p>
        </w:tc>
        <w:tc>
          <w:tcPr>
            <w:tcW w:w="46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按每2小时至少上传一条定位数据作为一次在线</w:t>
            </w:r>
            <w:r>
              <w:rPr>
                <w:rFonts w:hint="eastAsia" w:ascii="宋体" w:hAnsi="宋体"/>
                <w:spacing w:val="-4"/>
                <w:kern w:val="21"/>
                <w:szCs w:val="21"/>
              </w:rPr>
              <w:t>计算</w:t>
            </w:r>
            <w:r>
              <w:rPr>
                <w:rFonts w:hint="eastAsia" w:ascii="宋体" w:hAnsi="宋体"/>
                <w:kern w:val="21"/>
                <w:szCs w:val="21"/>
              </w:rPr>
              <w:t>，单车日在线率等于当日累计在线次数除以</w:t>
            </w:r>
            <w:r>
              <w:rPr>
                <w:rFonts w:ascii="宋体" w:hAnsi="宋体"/>
                <w:kern w:val="21"/>
                <w:szCs w:val="21"/>
              </w:rPr>
              <w:t>12。</w:t>
            </w:r>
          </w:p>
        </w:tc>
        <w:tc>
          <w:tcPr>
            <w:tcW w:w="19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单车月在线率</w:t>
            </w:r>
          </w:p>
        </w:tc>
        <w:tc>
          <w:tcPr>
            <w:tcW w:w="46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当月单车日在线率之和除以当月总天数。</w:t>
            </w:r>
          </w:p>
        </w:tc>
        <w:tc>
          <w:tcPr>
            <w:tcW w:w="19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spacing w:val="-2"/>
                <w:kern w:val="21"/>
                <w:szCs w:val="21"/>
              </w:rPr>
            </w:pPr>
            <w:r>
              <w:rPr>
                <w:rFonts w:hint="eastAsia" w:ascii="宋体" w:hAnsi="宋体"/>
                <w:spacing w:val="-2"/>
                <w:kern w:val="21"/>
                <w:szCs w:val="21"/>
              </w:rPr>
              <w:t>企业车辆日在线率</w:t>
            </w:r>
          </w:p>
        </w:tc>
        <w:tc>
          <w:tcPr>
            <w:tcW w:w="46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当日企业运输车辆单车日在线率之和除以企业运输车辆总数。</w:t>
            </w:r>
          </w:p>
        </w:tc>
        <w:tc>
          <w:tcPr>
            <w:tcW w:w="19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spacing w:val="-2"/>
                <w:kern w:val="21"/>
                <w:szCs w:val="21"/>
              </w:rPr>
            </w:pPr>
            <w:r>
              <w:rPr>
                <w:rFonts w:hint="eastAsia" w:ascii="宋体" w:hAnsi="宋体"/>
                <w:spacing w:val="-2"/>
                <w:kern w:val="21"/>
                <w:szCs w:val="21"/>
              </w:rPr>
              <w:t>企业车辆月在线率</w:t>
            </w:r>
          </w:p>
        </w:tc>
        <w:tc>
          <w:tcPr>
            <w:tcW w:w="46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当月企业车辆日在线率之和除以当月总天数。</w:t>
            </w:r>
          </w:p>
        </w:tc>
        <w:tc>
          <w:tcPr>
            <w:tcW w:w="19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车辆经常不在线</w:t>
            </w:r>
          </w:p>
        </w:tc>
        <w:tc>
          <w:tcPr>
            <w:tcW w:w="46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同一车辆连续</w:t>
            </w:r>
            <w:r>
              <w:rPr>
                <w:rFonts w:ascii="宋体" w:hAnsi="宋体"/>
                <w:kern w:val="0"/>
                <w:szCs w:val="21"/>
              </w:rPr>
              <w:t>30天内累计10天单车日在线率为零。</w:t>
            </w:r>
          </w:p>
        </w:tc>
        <w:tc>
          <w:tcPr>
            <w:tcW w:w="19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车辆长期不在线</w:t>
            </w:r>
          </w:p>
        </w:tc>
        <w:tc>
          <w:tcPr>
            <w:tcW w:w="465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同一车辆连续</w:t>
            </w:r>
            <w:r>
              <w:rPr>
                <w:rFonts w:ascii="宋体" w:hAnsi="宋体"/>
                <w:kern w:val="0"/>
                <w:szCs w:val="21"/>
              </w:rPr>
              <w:t>90天内累计30天单车日在线率为零。</w:t>
            </w:r>
          </w:p>
        </w:tc>
        <w:tc>
          <w:tcPr>
            <w:tcW w:w="19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42" w:leftChars="-20" w:right="-42" w:rightChars="-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45713"/>
    <w:rsid w:val="21445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2017-12-05T09:23:00Z</dcterms:created>
  <dc:creator>琉璃</dc:creator>
  <cp:lastModifiedBy>琉璃</cp:lastModifiedBy>
  <dcterms:modified xsi:type="dcterms:W3CDTF">2017-12-05T09:24:23Z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