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rPr>
          <w:rFonts w:hint="eastAsia" w:ascii="宋体" w:hAnsi="宋体"/>
          <w:sz w:val="24"/>
          <w:szCs w:val="24"/>
        </w:rPr>
      </w:pPr>
      <w:bookmarkStart w:id="0" w:name="_Toc18138"/>
      <w:r>
        <w:rPr>
          <w:rFonts w:hint="eastAsia" w:ascii="宋体" w:hAnsi="宋体"/>
          <w:sz w:val="24"/>
          <w:szCs w:val="24"/>
        </w:rPr>
        <w:t>附件7</w:t>
      </w:r>
      <w:bookmarkStart w:id="1" w:name="_GoBack"/>
      <w:bookmarkEnd w:id="1"/>
    </w:p>
    <w:p>
      <w:pPr>
        <w:spacing w:line="0" w:lineRule="atLeast"/>
        <w:jc w:val="center"/>
        <w:rPr>
          <w:rFonts w:hint="eastAsia" w:ascii="宋体" w:hAnsi="宋体"/>
          <w:sz w:val="36"/>
          <w:szCs w:val="36"/>
        </w:rPr>
      </w:pPr>
      <w:r>
        <w:rPr>
          <w:rFonts w:hint="eastAsia" w:ascii="宋体" w:hAnsi="宋体"/>
          <w:sz w:val="36"/>
          <w:szCs w:val="36"/>
        </w:rPr>
        <w:t>深圳市工矿商贸企业生产安全事故</w:t>
      </w:r>
    </w:p>
    <w:p>
      <w:pPr>
        <w:spacing w:line="0" w:lineRule="atLeast"/>
        <w:jc w:val="center"/>
        <w:rPr>
          <w:rFonts w:hint="eastAsia" w:ascii="宋体" w:hAnsi="宋体"/>
          <w:sz w:val="36"/>
          <w:szCs w:val="36"/>
        </w:rPr>
      </w:pPr>
      <w:r>
        <w:rPr>
          <w:rFonts w:hint="eastAsia" w:ascii="宋体" w:hAnsi="宋体"/>
          <w:sz w:val="36"/>
          <w:szCs w:val="36"/>
        </w:rPr>
        <w:t>应急响应分级标准</w:t>
      </w:r>
    </w:p>
    <w:p>
      <w:pPr>
        <w:spacing w:before="156" w:beforeLines="50" w:after="312" w:afterLines="100" w:line="400" w:lineRule="atLeast"/>
        <w:ind w:firstLine="480" w:firstLineChars="200"/>
        <w:rPr>
          <w:rFonts w:hint="eastAsia" w:ascii="宋体" w:hAnsi="宋体"/>
          <w:sz w:val="24"/>
          <w:szCs w:val="24"/>
        </w:rPr>
      </w:pPr>
      <w:r>
        <w:rPr>
          <w:rFonts w:hint="eastAsia" w:ascii="宋体" w:hAnsi="宋体"/>
          <w:sz w:val="24"/>
          <w:szCs w:val="24"/>
        </w:rPr>
        <w:t>按照工矿商贸企业生产安全事故的可控性、严重程度和影响范围，应急响应级别原则上分为Ⅰ级、Ⅱ级、Ⅲ级、Ⅳ级。</w:t>
      </w:r>
    </w:p>
    <w:tbl>
      <w:tblPr>
        <w:tblStyle w:val="4"/>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4" w:type="dxa"/>
            <w:vAlign w:val="center"/>
          </w:tcPr>
          <w:p>
            <w:pPr>
              <w:spacing w:line="310" w:lineRule="exact"/>
              <w:ind w:left="-53" w:leftChars="-25" w:right="-53" w:rightChars="-25"/>
              <w:jc w:val="center"/>
              <w:rPr>
                <w:rFonts w:hint="eastAsia" w:ascii="宋体" w:hAnsi="宋体" w:cs="仿宋"/>
                <w:szCs w:val="21"/>
              </w:rPr>
            </w:pPr>
            <w:r>
              <w:rPr>
                <w:rFonts w:hint="eastAsia" w:ascii="宋体" w:hAnsi="宋体" w:cs="仿宋"/>
                <w:szCs w:val="21"/>
              </w:rPr>
              <w:t>Ⅰ级应急响应</w:t>
            </w:r>
          </w:p>
        </w:tc>
        <w:tc>
          <w:tcPr>
            <w:tcW w:w="8271" w:type="dxa"/>
            <w:vAlign w:val="center"/>
          </w:tcPr>
          <w:p>
            <w:pPr>
              <w:spacing w:line="310" w:lineRule="exact"/>
              <w:ind w:left="-53" w:leftChars="-25" w:right="-53" w:rightChars="-25"/>
              <w:rPr>
                <w:rFonts w:hint="eastAsia" w:ascii="宋体" w:hAnsi="宋体" w:cs="仿宋"/>
                <w:szCs w:val="21"/>
              </w:rPr>
            </w:pPr>
            <w:r>
              <w:rPr>
                <w:rFonts w:hint="eastAsia" w:ascii="宋体" w:hAnsi="宋体" w:cs="仿宋"/>
                <w:szCs w:val="21"/>
              </w:rPr>
              <w:t>出现下列情况之一启动Ⅰ级响应：</w:t>
            </w:r>
          </w:p>
          <w:p>
            <w:pPr>
              <w:spacing w:line="310" w:lineRule="exact"/>
              <w:ind w:left="-53" w:leftChars="-25" w:right="-53" w:rightChars="-25"/>
              <w:rPr>
                <w:rFonts w:hint="eastAsia" w:ascii="宋体" w:hAnsi="宋体" w:cs="仿宋"/>
                <w:szCs w:val="21"/>
              </w:rPr>
            </w:pPr>
            <w:r>
              <w:rPr>
                <w:rFonts w:hint="eastAsia" w:ascii="宋体" w:hAnsi="宋体" w:cs="仿宋"/>
                <w:szCs w:val="21"/>
              </w:rPr>
              <w:t>1．造成30人以上死亡（含失踪），或者100人以上中毒（重伤），或者直接经济损失1亿元以上的工矿商贸企业生产安全事故；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2．需要紧急转移安置10万人以上的工矿商贸企业生产安全事故；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3．超出省（区、市）人民政府应急处置能力的工矿商贸企业生产安全事故；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4．跨省级行政区、跨领域（行业和部门）的工矿商贸企业生产安全事故；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5．国务院领导同志认为需要国务院安委会响应的工矿商贸企业生产安全事故。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4" w:type="dxa"/>
            <w:vAlign w:val="center"/>
          </w:tcPr>
          <w:p>
            <w:pPr>
              <w:spacing w:line="310" w:lineRule="exact"/>
              <w:ind w:left="-53" w:leftChars="-25" w:right="-53" w:rightChars="-25"/>
              <w:jc w:val="center"/>
              <w:rPr>
                <w:rFonts w:hint="eastAsia" w:ascii="宋体" w:hAnsi="宋体" w:cs="仿宋"/>
                <w:szCs w:val="21"/>
              </w:rPr>
            </w:pPr>
            <w:r>
              <w:rPr>
                <w:rFonts w:hint="eastAsia" w:ascii="宋体" w:hAnsi="宋体" w:cs="仿宋"/>
                <w:szCs w:val="21"/>
              </w:rPr>
              <w:t>Ⅱ级应急响应</w:t>
            </w:r>
          </w:p>
        </w:tc>
        <w:tc>
          <w:tcPr>
            <w:tcW w:w="8271" w:type="dxa"/>
            <w:vAlign w:val="center"/>
          </w:tcPr>
          <w:p>
            <w:pPr>
              <w:spacing w:line="310" w:lineRule="exact"/>
              <w:ind w:left="-53" w:leftChars="-25" w:right="-53" w:rightChars="-25"/>
              <w:rPr>
                <w:rFonts w:hint="eastAsia" w:ascii="宋体" w:hAnsi="宋体" w:cs="仿宋"/>
                <w:szCs w:val="21"/>
              </w:rPr>
            </w:pPr>
            <w:r>
              <w:rPr>
                <w:rFonts w:hint="eastAsia" w:ascii="宋体" w:hAnsi="宋体" w:cs="仿宋"/>
                <w:szCs w:val="21"/>
              </w:rPr>
              <w:t>出现下列情况之一启动Ⅱ级响应：</w:t>
            </w:r>
          </w:p>
          <w:p>
            <w:pPr>
              <w:spacing w:line="310" w:lineRule="exact"/>
              <w:ind w:left="-53" w:leftChars="-25" w:right="-53" w:rightChars="-25"/>
              <w:rPr>
                <w:rFonts w:hint="eastAsia" w:ascii="宋体" w:hAnsi="宋体" w:cs="仿宋"/>
                <w:szCs w:val="21"/>
              </w:rPr>
            </w:pPr>
            <w:r>
              <w:rPr>
                <w:rFonts w:hint="eastAsia" w:ascii="宋体" w:hAnsi="宋体" w:cs="仿宋"/>
                <w:szCs w:val="21"/>
              </w:rPr>
              <w:t>1．造成10人以上、30人以下死亡（含失踪），或者50人以上、100人以下中毒（重伤），或者直接经济损失5000万元以上、l亿元以下的工矿商贸企业生产安全事故；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2．超出地级以上市人民政府应急处置能力的工矿商贸企业生产安全事故；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3．跨地级以上市行政区的工矿商贸企业生产安全事故；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4．省政府认为有必要响应的工矿商贸企业生产安全事故。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4" w:type="dxa"/>
            <w:vAlign w:val="center"/>
          </w:tcPr>
          <w:p>
            <w:pPr>
              <w:spacing w:line="310" w:lineRule="exact"/>
              <w:ind w:left="-53" w:leftChars="-25" w:right="-53" w:rightChars="-25"/>
              <w:jc w:val="center"/>
              <w:rPr>
                <w:rFonts w:hint="eastAsia" w:ascii="宋体" w:hAnsi="宋体" w:cs="仿宋"/>
                <w:szCs w:val="21"/>
              </w:rPr>
            </w:pPr>
            <w:r>
              <w:rPr>
                <w:rFonts w:hint="eastAsia" w:ascii="宋体" w:hAnsi="宋体" w:cs="仿宋"/>
                <w:szCs w:val="21"/>
              </w:rPr>
              <w:t>Ⅲ级应急响应</w:t>
            </w:r>
          </w:p>
        </w:tc>
        <w:tc>
          <w:tcPr>
            <w:tcW w:w="8271" w:type="dxa"/>
            <w:vAlign w:val="center"/>
          </w:tcPr>
          <w:p>
            <w:pPr>
              <w:spacing w:line="310" w:lineRule="exact"/>
              <w:ind w:left="-53" w:leftChars="-25" w:right="-53" w:rightChars="-25"/>
              <w:rPr>
                <w:rFonts w:hint="eastAsia" w:ascii="宋体" w:hAnsi="宋体" w:cs="仿宋"/>
                <w:szCs w:val="21"/>
              </w:rPr>
            </w:pPr>
            <w:r>
              <w:rPr>
                <w:rFonts w:hint="eastAsia" w:ascii="宋体" w:hAnsi="宋体" w:cs="仿宋"/>
                <w:szCs w:val="21"/>
              </w:rPr>
              <w:t>出现下列情况之一启动Ⅲ级响应：</w:t>
            </w:r>
          </w:p>
          <w:p>
            <w:pPr>
              <w:spacing w:line="310" w:lineRule="exact"/>
              <w:ind w:left="-53" w:leftChars="-25" w:right="-53" w:rightChars="-25"/>
              <w:rPr>
                <w:rFonts w:hint="eastAsia" w:ascii="宋体" w:hAnsi="宋体" w:cs="仿宋"/>
                <w:szCs w:val="21"/>
              </w:rPr>
            </w:pPr>
            <w:r>
              <w:rPr>
                <w:rFonts w:hint="eastAsia" w:ascii="宋体" w:hAnsi="宋体" w:cs="仿宋"/>
                <w:szCs w:val="21"/>
              </w:rPr>
              <w:t>1．造成3人以上、10人以下死亡（含失踪），或者10人以上、50人以下中毒（重伤），或者直接经济损失1000万元以上、5000万元以下的工矿商贸企业生产安全事故；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2．超出区政府（新区管委会）应急处置能力的工矿商贸企业生产安全事故；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3．发生跨区级行政区工矿商贸企业生产安全事故；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4．地级以上市人民政府认为有必要响应的工矿商贸企业生产安全事故。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54" w:type="dxa"/>
            <w:vAlign w:val="center"/>
          </w:tcPr>
          <w:p>
            <w:pPr>
              <w:spacing w:line="310" w:lineRule="exact"/>
              <w:ind w:left="-53" w:leftChars="-25" w:right="-53" w:rightChars="-25"/>
              <w:jc w:val="center"/>
              <w:rPr>
                <w:rFonts w:hint="eastAsia" w:ascii="宋体" w:hAnsi="宋体" w:cs="仿宋"/>
                <w:szCs w:val="21"/>
              </w:rPr>
            </w:pPr>
            <w:r>
              <w:rPr>
                <w:rFonts w:hint="eastAsia" w:ascii="宋体" w:hAnsi="宋体" w:cs="仿宋"/>
                <w:szCs w:val="21"/>
              </w:rPr>
              <w:t>Ⅳ级应急响应</w:t>
            </w:r>
          </w:p>
        </w:tc>
        <w:tc>
          <w:tcPr>
            <w:tcW w:w="8271" w:type="dxa"/>
            <w:vAlign w:val="center"/>
          </w:tcPr>
          <w:p>
            <w:pPr>
              <w:spacing w:line="310" w:lineRule="exact"/>
              <w:ind w:left="-53" w:leftChars="-25" w:right="-53" w:rightChars="-25"/>
              <w:rPr>
                <w:rFonts w:hint="eastAsia" w:ascii="宋体" w:hAnsi="宋体" w:cs="仿宋"/>
                <w:szCs w:val="21"/>
              </w:rPr>
            </w:pPr>
            <w:r>
              <w:rPr>
                <w:rFonts w:hint="eastAsia" w:ascii="宋体" w:hAnsi="宋体" w:cs="仿宋"/>
                <w:szCs w:val="21"/>
              </w:rPr>
              <w:t>出现下列情况之一启动Ⅳ级响应：</w:t>
            </w:r>
          </w:p>
          <w:p>
            <w:pPr>
              <w:spacing w:line="310" w:lineRule="exact"/>
              <w:ind w:left="-53" w:leftChars="-25" w:right="-53" w:rightChars="-25"/>
              <w:rPr>
                <w:rFonts w:hint="eastAsia" w:ascii="宋体" w:hAnsi="宋体" w:cs="仿宋"/>
                <w:szCs w:val="21"/>
              </w:rPr>
            </w:pPr>
            <w:r>
              <w:rPr>
                <w:rFonts w:hint="eastAsia" w:ascii="宋体" w:hAnsi="宋体" w:cs="仿宋"/>
                <w:szCs w:val="21"/>
              </w:rPr>
              <w:t>1．造成3人以下死亡，或者10人以下中毒（重伤），或者1000万元以下直接经济损失的工矿商贸企业生产安全事故；</w:t>
            </w:r>
          </w:p>
          <w:p>
            <w:pPr>
              <w:spacing w:line="310" w:lineRule="exact"/>
              <w:ind w:left="-53" w:leftChars="-25" w:right="-53" w:rightChars="-25"/>
              <w:rPr>
                <w:rFonts w:hint="eastAsia" w:ascii="宋体" w:hAnsi="宋体" w:cs="仿宋"/>
                <w:szCs w:val="21"/>
              </w:rPr>
            </w:pPr>
            <w:r>
              <w:rPr>
                <w:rFonts w:hint="eastAsia" w:ascii="宋体" w:hAnsi="宋体" w:cs="仿宋"/>
                <w:szCs w:val="21"/>
              </w:rPr>
              <w:t>2．各区政府（新区管委会）认为有必要响应的工矿商贸企业生产安全事故。</w:t>
            </w:r>
          </w:p>
        </w:tc>
      </w:tr>
    </w:tbl>
    <w:p>
      <w:pPr>
        <w:spacing w:before="156" w:beforeLines="50" w:line="400" w:lineRule="atLeast"/>
        <w:ind w:firstLine="482"/>
        <w:rPr>
          <w:rFonts w:hint="eastAsia" w:ascii="宋体" w:hAnsi="宋体"/>
          <w:sz w:val="24"/>
          <w:szCs w:val="24"/>
        </w:rPr>
      </w:pPr>
      <w:r>
        <w:rPr>
          <w:rFonts w:hint="eastAsia" w:ascii="宋体" w:hAnsi="宋体"/>
          <w:sz w:val="24"/>
          <w:szCs w:val="24"/>
        </w:rPr>
        <w:t>本节有关数量的表述中，“以上”含本数，“以下”不含本数。</w:t>
      </w:r>
    </w:p>
    <w:p>
      <w:pPr>
        <w:spacing w:line="400" w:lineRule="atLeast"/>
        <w:ind w:firstLine="482"/>
        <w:rPr>
          <w:rFonts w:hint="eastAsia" w:ascii="宋体" w:hAnsi="宋体"/>
          <w:sz w:val="24"/>
          <w:szCs w:val="24"/>
        </w:rPr>
      </w:pPr>
      <w:r>
        <w:rPr>
          <w:rFonts w:hint="eastAsia" w:ascii="宋体" w:hAnsi="宋体"/>
          <w:sz w:val="24"/>
          <w:szCs w:val="24"/>
        </w:rPr>
        <w:t>Ⅰ级响应由国务院或国务院有关部门启动，Ⅱ级响应由省政府启动，Ⅲ级响应由地级以上市人民政府启动，Ⅳ级响应由各区政府（新区管委会）启动。</w:t>
      </w:r>
    </w:p>
    <w:p>
      <w:pPr>
        <w:spacing w:line="400" w:lineRule="atLeast"/>
        <w:ind w:firstLine="482"/>
        <w:rPr>
          <w:rFonts w:hint="eastAsia" w:ascii="宋体" w:hAnsi="宋体"/>
          <w:sz w:val="24"/>
          <w:szCs w:val="24"/>
        </w:rPr>
      </w:pPr>
      <w:r>
        <w:rPr>
          <w:rFonts w:hint="eastAsia" w:ascii="宋体" w:hAnsi="宋体"/>
          <w:sz w:val="24"/>
          <w:szCs w:val="24"/>
        </w:rPr>
        <w:t>各级政府在事故超出本级应急救援处置能力时，应及时上报，请求启动更高一级应急响应，实施救援。</w:t>
      </w:r>
    </w:p>
    <w:p>
      <w:r>
        <w:rPr>
          <w:rFonts w:hint="eastAsia" w:ascii="宋体" w:hAnsi="宋体"/>
          <w:sz w:val="24"/>
          <w:szCs w:val="24"/>
        </w:rPr>
        <w:t>需要启动Ⅰ、Ⅱ级应急响应时，市政府应先启动Ⅲ级应急响应进行先期处置。</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D443A"/>
    <w:rsid w:val="5F1D4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2017-12-19T06:44:00Z</dcterms:created>
  <dc:creator>琉璃</dc:creator>
  <cp:lastModifiedBy>琉璃</cp:lastModifiedBy>
  <dcterms:modified xsi:type="dcterms:W3CDTF">2017-12-19T06:49:58Z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