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58" w:rsidRDefault="00B32258" w:rsidP="00B32258">
      <w:pPr>
        <w:spacing w:line="700" w:lineRule="exact"/>
        <w:ind w:firstLine="0"/>
        <w:rPr>
          <w:rFonts w:ascii="黑体" w:eastAsia="黑体" w:hAnsi="黑体"/>
        </w:rPr>
      </w:pPr>
      <w:r w:rsidRPr="00882AB7">
        <w:rPr>
          <w:rFonts w:ascii="黑体" w:eastAsia="黑体" w:hAnsi="黑体" w:hint="eastAsia"/>
        </w:rPr>
        <w:t>京建发〔</w:t>
      </w:r>
      <w:r w:rsidRPr="00882AB7">
        <w:rPr>
          <w:rFonts w:ascii="黑体" w:eastAsia="黑体" w:hAnsi="黑体"/>
        </w:rPr>
        <w:t>2018</w:t>
      </w:r>
      <w:r w:rsidRPr="00882AB7">
        <w:rPr>
          <w:rFonts w:ascii="黑体" w:eastAsia="黑体" w:hAnsi="黑体" w:hint="eastAsia"/>
        </w:rPr>
        <w:t>〕</w:t>
      </w:r>
      <w:r w:rsidRPr="00882AB7">
        <w:rPr>
          <w:rFonts w:ascii="黑体" w:eastAsia="黑体" w:hAnsi="黑体"/>
        </w:rPr>
        <w:t>26</w:t>
      </w:r>
      <w:r w:rsidRPr="00882AB7">
        <w:rPr>
          <w:rFonts w:ascii="黑体" w:eastAsia="黑体" w:hAnsi="黑体" w:hint="eastAsia"/>
        </w:rPr>
        <w:t>号</w:t>
      </w:r>
      <w:r w:rsidRPr="00CB2AC4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:rsidR="00B32258" w:rsidRPr="00CB2AC4" w:rsidRDefault="00B32258" w:rsidP="00B32258">
      <w:pPr>
        <w:spacing w:line="240" w:lineRule="auto"/>
        <w:ind w:firstLine="0"/>
        <w:jc w:val="both"/>
        <w:rPr>
          <w:rFonts w:ascii="黑体" w:eastAsia="黑体" w:hAnsi="黑体"/>
        </w:rPr>
      </w:pPr>
    </w:p>
    <w:p w:rsidR="00B32258" w:rsidRDefault="00B32258" w:rsidP="00B32258">
      <w:pPr>
        <w:spacing w:line="56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86DC5">
        <w:rPr>
          <w:rFonts w:ascii="方正小标宋简体" w:eastAsia="方正小标宋简体" w:hAnsi="华文中宋" w:hint="eastAsia"/>
          <w:sz w:val="44"/>
          <w:szCs w:val="44"/>
        </w:rPr>
        <w:t>不合格项处置管理制度</w:t>
      </w:r>
    </w:p>
    <w:p w:rsidR="00B32258" w:rsidRPr="00186DC5" w:rsidRDefault="00B32258" w:rsidP="00B32258">
      <w:pPr>
        <w:spacing w:line="560" w:lineRule="exact"/>
        <w:ind w:firstLine="0"/>
        <w:jc w:val="both"/>
        <w:rPr>
          <w:rFonts w:ascii="方正小标宋简体" w:eastAsia="方正小标宋简体" w:hAnsi="黑体"/>
        </w:rPr>
      </w:pP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宋体" w:cs="宋体" w:hint="eastAsia"/>
          <w:kern w:val="0"/>
        </w:rPr>
        <w:t>一、不合格项包含</w:t>
      </w:r>
      <w:r w:rsidRPr="00CB2AC4">
        <w:rPr>
          <w:rFonts w:hAnsi="宋体" w:cs="宋体"/>
          <w:kern w:val="0"/>
        </w:rPr>
        <w:t>:</w:t>
      </w:r>
      <w:r w:rsidRPr="00CB2AC4">
        <w:rPr>
          <w:rFonts w:hAnsi="Calibri" w:hint="eastAsia"/>
        </w:rPr>
        <w:t>不合格检验试验情况及</w:t>
      </w:r>
      <w:r w:rsidRPr="00CB2AC4">
        <w:rPr>
          <w:rFonts w:hAnsi="宋体" w:cs="宋体" w:hint="eastAsia"/>
          <w:kern w:val="0"/>
        </w:rPr>
        <w:t>各单位检查发现的</w:t>
      </w:r>
      <w:r w:rsidRPr="00CB2AC4">
        <w:rPr>
          <w:rFonts w:hAnsi="Calibri" w:hint="eastAsia"/>
        </w:rPr>
        <w:t>质量问题。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宋体" w:cs="宋体"/>
          <w:kern w:val="0"/>
        </w:rPr>
      </w:pPr>
      <w:r w:rsidRPr="00CB2AC4">
        <w:rPr>
          <w:rFonts w:hAnsi="宋体" w:cs="宋体" w:hint="eastAsia"/>
          <w:kern w:val="0"/>
        </w:rPr>
        <w:t>二、</w:t>
      </w:r>
      <w:r>
        <w:rPr>
          <w:rFonts w:hAnsi="宋体" w:cs="宋体" w:hint="eastAsia"/>
          <w:kern w:val="0"/>
        </w:rPr>
        <w:t>建设</w:t>
      </w:r>
      <w:r w:rsidRPr="00CB2AC4">
        <w:rPr>
          <w:rFonts w:hAnsi="宋体" w:cs="宋体" w:hint="eastAsia"/>
          <w:kern w:val="0"/>
        </w:rPr>
        <w:t>单位应与检测机构建立沟通联系机制。检测机构应</w:t>
      </w:r>
      <w:r>
        <w:rPr>
          <w:rFonts w:hAnsi="宋体" w:cs="宋体" w:hint="eastAsia"/>
          <w:kern w:val="0"/>
        </w:rPr>
        <w:t>定期</w:t>
      </w:r>
      <w:r w:rsidRPr="00CB2AC4">
        <w:rPr>
          <w:rFonts w:hAnsi="宋体" w:cs="宋体" w:hint="eastAsia"/>
          <w:kern w:val="0"/>
        </w:rPr>
        <w:t>向</w:t>
      </w:r>
      <w:r>
        <w:rPr>
          <w:rFonts w:hAnsi="宋体" w:cs="宋体" w:hint="eastAsia"/>
          <w:kern w:val="0"/>
        </w:rPr>
        <w:t>建设</w:t>
      </w:r>
      <w:r w:rsidRPr="00CB2AC4">
        <w:rPr>
          <w:rFonts w:hAnsi="宋体" w:cs="宋体" w:hint="eastAsia"/>
          <w:kern w:val="0"/>
        </w:rPr>
        <w:t>单位报送检测试验台账，当出现不合格检测情况时，应立即报</w:t>
      </w:r>
      <w:r>
        <w:rPr>
          <w:rFonts w:hAnsi="宋体" w:cs="宋体" w:hint="eastAsia"/>
          <w:kern w:val="0"/>
        </w:rPr>
        <w:t>建设单位、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总承包单位</w:t>
      </w:r>
      <w:r w:rsidRPr="00CB2AC4">
        <w:rPr>
          <w:rFonts w:hAnsi="宋体" w:cs="宋体" w:hint="eastAsia"/>
          <w:kern w:val="0"/>
        </w:rPr>
        <w:t>。</w:t>
      </w:r>
      <w:r>
        <w:rPr>
          <w:rFonts w:hAnsi="宋体" w:cs="宋体" w:hint="eastAsia"/>
          <w:kern w:val="0"/>
        </w:rPr>
        <w:t>建设单位应跟踪不合格报告的处理情况，直至整改完成，并留存相关记录</w:t>
      </w:r>
      <w:r w:rsidRPr="00CB2AC4">
        <w:rPr>
          <w:rFonts w:hAnsi="宋体" w:cs="宋体" w:hint="eastAsia"/>
          <w:kern w:val="0"/>
        </w:rPr>
        <w:t>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宋体" w:cs="宋体" w:hint="eastAsia"/>
          <w:kern w:val="0"/>
        </w:rPr>
        <w:t>三、</w:t>
      </w:r>
      <w:r w:rsidRPr="00CB2AC4">
        <w:rPr>
          <w:rFonts w:hAnsi="Calibri" w:hint="eastAsia"/>
        </w:rPr>
        <w:t>不合格检验试验处置要求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 w:hint="eastAsia"/>
        </w:rPr>
        <w:t>（一）不合格材料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1.</w:t>
      </w:r>
      <w:r>
        <w:rPr>
          <w:rFonts w:hAnsi="Calibri" w:hint="eastAsia"/>
        </w:rPr>
        <w:t>不合格的</w:t>
      </w:r>
      <w:r w:rsidRPr="00CB2AC4">
        <w:rPr>
          <w:rFonts w:hAnsi="Calibri" w:hint="eastAsia"/>
        </w:rPr>
        <w:t>相应批次材料应按规定程序进行退场处理，</w:t>
      </w:r>
      <w:r w:rsidRPr="003F007D">
        <w:rPr>
          <w:rFonts w:hint="eastAsia"/>
        </w:rPr>
        <w:t>严禁使用未经</w:t>
      </w:r>
      <w:r>
        <w:rPr>
          <w:rFonts w:hint="eastAsia"/>
        </w:rPr>
        <w:t>检验或检验不合格</w:t>
      </w:r>
      <w:r w:rsidRPr="003F007D">
        <w:rPr>
          <w:rFonts w:hint="eastAsia"/>
        </w:rPr>
        <w:t>或未经监理签认验收的材料、设备及构配件</w:t>
      </w:r>
      <w:r w:rsidRPr="00CB2AC4">
        <w:rPr>
          <w:rFonts w:hAnsi="Calibri" w:hint="eastAsia"/>
        </w:rPr>
        <w:t>。</w:t>
      </w:r>
    </w:p>
    <w:p w:rsidR="00B32258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2.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单位</w:t>
      </w:r>
      <w:r w:rsidRPr="00CB2AC4">
        <w:rPr>
          <w:rFonts w:hAnsi="宋体" w:cs="宋体" w:hint="eastAsia"/>
          <w:kern w:val="0"/>
        </w:rPr>
        <w:t>应会同监理单位封存相应批次不合格材料，并进行退场处理。退场过程应留存相关影像资料（包括见证人员、接收人员、封样、装车、车牌号、车辆驶出现场出口），同时应形成由施工单位、</w:t>
      </w:r>
      <w:r>
        <w:rPr>
          <w:rFonts w:hAnsi="宋体" w:cs="宋体" w:hint="eastAsia"/>
          <w:kern w:val="0"/>
        </w:rPr>
        <w:t>专业分包单位、</w:t>
      </w:r>
      <w:r w:rsidRPr="00CB2AC4">
        <w:rPr>
          <w:rFonts w:hAnsi="宋体" w:cs="宋体" w:hint="eastAsia"/>
          <w:kern w:val="0"/>
        </w:rPr>
        <w:t>监理单位、材料供应单位签字确认的</w:t>
      </w:r>
      <w:r w:rsidRPr="00CB2AC4">
        <w:rPr>
          <w:rFonts w:hAnsi="Calibri" w:hint="eastAsia"/>
        </w:rPr>
        <w:t>《</w:t>
      </w:r>
      <w:r>
        <w:rPr>
          <w:rFonts w:hAnsi="Calibri" w:hint="eastAsia"/>
        </w:rPr>
        <w:t>不合格材料退场</w:t>
      </w:r>
      <w:r w:rsidRPr="00CB2AC4">
        <w:rPr>
          <w:rFonts w:hAnsi="Calibri" w:hint="eastAsia"/>
        </w:rPr>
        <w:t>记录》（附表</w:t>
      </w:r>
      <w:r w:rsidRPr="00CB2AC4">
        <w:rPr>
          <w:rFonts w:hAnsi="Calibri"/>
        </w:rPr>
        <w:t>1</w:t>
      </w:r>
      <w:r w:rsidRPr="00CB2AC4">
        <w:rPr>
          <w:rFonts w:hAnsi="Calibri" w:hint="eastAsia"/>
        </w:rPr>
        <w:t>）。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3.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单位</w:t>
      </w:r>
      <w:r w:rsidRPr="00CB2AC4">
        <w:rPr>
          <w:rFonts w:hAnsi="Calibri" w:hint="eastAsia"/>
        </w:rPr>
        <w:t>应建立材料物资</w:t>
      </w:r>
      <w:proofErr w:type="gramStart"/>
      <w:r w:rsidRPr="00CB2AC4">
        <w:rPr>
          <w:rFonts w:hAnsi="Calibri" w:hint="eastAsia"/>
        </w:rPr>
        <w:t>退场台</w:t>
      </w:r>
      <w:proofErr w:type="gramEnd"/>
      <w:r w:rsidRPr="00CB2AC4">
        <w:rPr>
          <w:rFonts w:hAnsi="Calibri" w:hint="eastAsia"/>
        </w:rPr>
        <w:t>账，留存退货单据，退货单据应由供应方、收货方签字确认，并清晰载明材料物资的名称、规格型号、供应商、生产厂家、数量等信息。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lastRenderedPageBreak/>
        <w:t>4.</w:t>
      </w:r>
      <w:r w:rsidRPr="00CB2AC4">
        <w:rPr>
          <w:rFonts w:hAnsi="Calibri" w:hint="eastAsia"/>
        </w:rPr>
        <w:t>监理单位应对材料退场进行全过程旁站，应及时填写《不合格</w:t>
      </w:r>
      <w:r>
        <w:rPr>
          <w:rFonts w:hAnsi="Calibri" w:hint="eastAsia"/>
        </w:rPr>
        <w:t>材料退场</w:t>
      </w:r>
      <w:r w:rsidRPr="00CB2AC4">
        <w:rPr>
          <w:rFonts w:hAnsi="Calibri" w:hint="eastAsia"/>
        </w:rPr>
        <w:t>记录》，并下发施工单位，同时上报</w:t>
      </w:r>
      <w:r>
        <w:rPr>
          <w:rFonts w:hAnsi="Calibri" w:hint="eastAsia"/>
        </w:rPr>
        <w:t>建设单位</w:t>
      </w:r>
      <w:r w:rsidRPr="00CB2AC4">
        <w:rPr>
          <w:rFonts w:hAnsi="Calibri" w:hint="eastAsia"/>
        </w:rPr>
        <w:t>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 w:hint="eastAsia"/>
        </w:rPr>
        <w:t>（二）不合格施工试验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1.</w:t>
      </w:r>
      <w:r w:rsidRPr="00CB2AC4">
        <w:rPr>
          <w:rFonts w:hAnsi="Calibri" w:hint="eastAsia"/>
        </w:rPr>
        <w:t>施工单位应立即暂停施工部位和施工工序的施工。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2.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单位应立即组织</w:t>
      </w:r>
      <w:r>
        <w:rPr>
          <w:rFonts w:hAnsi="Calibri" w:hint="eastAsia"/>
        </w:rPr>
        <w:t>设计、监理、施工</w:t>
      </w:r>
      <w:r w:rsidRPr="00CB2AC4">
        <w:rPr>
          <w:rFonts w:hAnsi="Calibri" w:hint="eastAsia"/>
        </w:rPr>
        <w:t>单位分析原因并提出整改方案；施工单位应严格按整改方案要求进行整改，监理单位应对整改过程进行旁站并重新进行验收。对调整施工工艺的，应重新进行工艺检验。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 w:hint="eastAsia"/>
        </w:rPr>
        <w:t>（三）混凝土试块强度不合格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>
        <w:rPr>
          <w:rFonts w:hAnsi="Calibri"/>
        </w:rPr>
        <w:t>1</w:t>
      </w:r>
      <w:r w:rsidRPr="00CB2AC4">
        <w:rPr>
          <w:rFonts w:hAnsi="Calibri"/>
        </w:rPr>
        <w:t>.</w:t>
      </w:r>
      <w:r w:rsidRPr="00EB7696">
        <w:rPr>
          <w:rFonts w:hAnsi="Calibri"/>
        </w:rPr>
        <w:t xml:space="preserve"> 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总承包</w:t>
      </w:r>
      <w:r w:rsidRPr="00CB2AC4">
        <w:rPr>
          <w:rFonts w:hAnsi="Calibri" w:hint="eastAsia"/>
        </w:rPr>
        <w:t>、监理及</w:t>
      </w:r>
      <w:r>
        <w:rPr>
          <w:rFonts w:hAnsi="Calibri" w:hint="eastAsia"/>
        </w:rPr>
        <w:t>混凝土</w:t>
      </w:r>
      <w:r w:rsidRPr="00CB2AC4">
        <w:rPr>
          <w:rFonts w:hAnsi="Calibri" w:hint="eastAsia"/>
        </w:rPr>
        <w:t>搅拌站</w:t>
      </w:r>
      <w:r>
        <w:rPr>
          <w:rFonts w:hAnsi="Calibri" w:hint="eastAsia"/>
        </w:rPr>
        <w:t>应分析原因，</w:t>
      </w:r>
      <w:r w:rsidRPr="00CB2AC4">
        <w:rPr>
          <w:rFonts w:hAnsi="Calibri" w:hint="eastAsia"/>
        </w:rPr>
        <w:t>提出整改措施；如为混凝土生产质量问题，施工</w:t>
      </w:r>
      <w:r>
        <w:rPr>
          <w:rFonts w:hAnsi="Calibri" w:hint="eastAsia"/>
        </w:rPr>
        <w:t>总承包单位应停止混凝土供应合同关系，重新选择质量可控的混凝土生产企业</w:t>
      </w:r>
      <w:r w:rsidRPr="00CB2AC4">
        <w:rPr>
          <w:rFonts w:hAnsi="Calibri" w:hint="eastAsia"/>
        </w:rPr>
        <w:t>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>
        <w:rPr>
          <w:rFonts w:hAnsi="Calibri"/>
        </w:rPr>
        <w:t>2</w:t>
      </w:r>
      <w:r w:rsidRPr="00CB2AC4">
        <w:rPr>
          <w:rFonts w:hAnsi="Calibri"/>
        </w:rPr>
        <w:t>.</w:t>
      </w:r>
      <w:r w:rsidRPr="00EB7696">
        <w:rPr>
          <w:rFonts w:hAnsi="Calibri"/>
        </w:rPr>
        <w:t xml:space="preserve"> 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应制定混凝土强度实体检测方案</w:t>
      </w:r>
      <w:r>
        <w:rPr>
          <w:rFonts w:hAnsi="Calibri" w:hint="eastAsia"/>
        </w:rPr>
        <w:t>报监理单位审批</w:t>
      </w:r>
      <w:r w:rsidRPr="00CB2AC4">
        <w:rPr>
          <w:rFonts w:hAnsi="Calibri" w:hint="eastAsia"/>
        </w:rPr>
        <w:t>，</w:t>
      </w:r>
      <w:r>
        <w:rPr>
          <w:rFonts w:hAnsi="Calibri" w:hint="eastAsia"/>
        </w:rPr>
        <w:t>并委托有资质检测单位进行实体检测</w:t>
      </w:r>
      <w:r w:rsidRPr="00CB2AC4">
        <w:rPr>
          <w:rFonts w:hAnsi="Calibri" w:hint="eastAsia"/>
        </w:rPr>
        <w:t>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>
        <w:rPr>
          <w:rFonts w:hAnsi="Calibri"/>
        </w:rPr>
        <w:t>3</w:t>
      </w:r>
      <w:r w:rsidRPr="00CB2AC4">
        <w:rPr>
          <w:rFonts w:hAnsi="Calibri"/>
        </w:rPr>
        <w:t>.</w:t>
      </w:r>
      <w:r w:rsidRPr="00CB2AC4">
        <w:rPr>
          <w:rFonts w:hAnsi="Calibri" w:hint="eastAsia"/>
        </w:rPr>
        <w:t>当实体检测结果不符合设计要求，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单位应组织设计、施工</w:t>
      </w:r>
      <w:r>
        <w:rPr>
          <w:rFonts w:hAnsi="Calibri" w:hint="eastAsia"/>
        </w:rPr>
        <w:t>总承包</w:t>
      </w:r>
      <w:r w:rsidRPr="00CB2AC4">
        <w:rPr>
          <w:rFonts w:hAnsi="Calibri" w:hint="eastAsia"/>
        </w:rPr>
        <w:t>、监理单位</w:t>
      </w:r>
      <w:r>
        <w:rPr>
          <w:rFonts w:hAnsi="Calibri" w:hint="eastAsia"/>
        </w:rPr>
        <w:t>研究处理方案</w:t>
      </w:r>
      <w:r w:rsidRPr="00CB2AC4">
        <w:rPr>
          <w:rFonts w:hAnsi="Calibri" w:hint="eastAsia"/>
        </w:rPr>
        <w:t>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宋体" w:cs="宋体"/>
          <w:kern w:val="0"/>
        </w:rPr>
      </w:pPr>
      <w:r>
        <w:rPr>
          <w:rFonts w:hAnsi="Calibri"/>
        </w:rPr>
        <w:t>4</w:t>
      </w:r>
      <w:r w:rsidRPr="00CB2AC4">
        <w:rPr>
          <w:rFonts w:hAnsi="Calibri"/>
        </w:rPr>
        <w:t>.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应按照整改方案立即进行整改，监理单位应对整改过程进行旁站并重新进行验收。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>
        <w:rPr>
          <w:rFonts w:hAnsi="Calibri" w:hint="eastAsia"/>
        </w:rPr>
        <w:t>四</w:t>
      </w:r>
      <w:r w:rsidRPr="00CB2AC4">
        <w:rPr>
          <w:rFonts w:hAnsi="Calibri" w:hint="eastAsia"/>
        </w:rPr>
        <w:t>、质量问题处置要求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1.</w:t>
      </w:r>
      <w:r w:rsidRPr="00CB2AC4">
        <w:rPr>
          <w:rFonts w:hAnsi="Calibri" w:hint="eastAsia"/>
        </w:rPr>
        <w:t>针对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单位、</w:t>
      </w:r>
      <w:r>
        <w:rPr>
          <w:rFonts w:hAnsi="Calibri" w:hint="eastAsia"/>
        </w:rPr>
        <w:t>监理单位等单位</w:t>
      </w:r>
      <w:r w:rsidRPr="00CB2AC4">
        <w:rPr>
          <w:rFonts w:hAnsi="Calibri" w:hint="eastAsia"/>
        </w:rPr>
        <w:t>检查发现的质量问题，施工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应进行立即</w:t>
      </w:r>
      <w:r>
        <w:rPr>
          <w:rFonts w:hAnsi="Calibri" w:hint="eastAsia"/>
        </w:rPr>
        <w:t>组织</w:t>
      </w:r>
      <w:r w:rsidRPr="00CB2AC4">
        <w:rPr>
          <w:rFonts w:hAnsi="Calibri" w:hint="eastAsia"/>
        </w:rPr>
        <w:t>整改，并形成整改报告报监理单位；监理单位应对施工单位的整改情况进行复查，并在</w:t>
      </w:r>
      <w:r w:rsidRPr="00CB2AC4">
        <w:rPr>
          <w:rFonts w:hAnsi="Calibri" w:hint="eastAsia"/>
        </w:rPr>
        <w:lastRenderedPageBreak/>
        <w:t>整改报告上签署复查意见，施工单位应将整改报告报送检查单位。</w:t>
      </w:r>
    </w:p>
    <w:p w:rsidR="00B32258" w:rsidRPr="00CB2AC4" w:rsidRDefault="00B32258" w:rsidP="00B32258">
      <w:pPr>
        <w:widowControl/>
        <w:spacing w:line="56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/>
        </w:rPr>
        <w:t>2.</w:t>
      </w:r>
      <w:r w:rsidRPr="00CB2AC4">
        <w:rPr>
          <w:rFonts w:hAnsi="Calibri" w:hint="eastAsia"/>
        </w:rPr>
        <w:t>针对各级政府部门检查发现的质量问题，施工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应立即</w:t>
      </w:r>
      <w:r>
        <w:rPr>
          <w:rFonts w:hAnsi="Calibri" w:hint="eastAsia"/>
        </w:rPr>
        <w:t>组织</w:t>
      </w:r>
      <w:r w:rsidRPr="00CB2AC4">
        <w:rPr>
          <w:rFonts w:hAnsi="Calibri" w:hint="eastAsia"/>
        </w:rPr>
        <w:t>整改，并形成整改报告报监理单位和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单位；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、监理单位应对施工单位的整改情况进行复查，并在整改报告上签署复查意见，施工单位将整改报告报送相关政府部门。</w:t>
      </w:r>
    </w:p>
    <w:p w:rsidR="00B32258" w:rsidRPr="00A21E96" w:rsidRDefault="00B32258" w:rsidP="00B32258">
      <w:pPr>
        <w:spacing w:before="240" w:after="60" w:line="560" w:lineRule="exact"/>
        <w:ind w:firstLine="0"/>
        <w:jc w:val="both"/>
        <w:outlineLvl w:val="0"/>
        <w:rPr>
          <w:rFonts w:ascii="黑体" w:eastAsia="黑体" w:hAnsi="黑体"/>
          <w:bCs/>
          <w:sz w:val="30"/>
          <w:szCs w:val="30"/>
        </w:rPr>
      </w:pPr>
      <w:r w:rsidRPr="00CB2AC4">
        <w:rPr>
          <w:rFonts w:hAnsi="宋体" w:cs="宋体"/>
          <w:b/>
          <w:bCs/>
          <w:kern w:val="0"/>
        </w:rPr>
        <w:br w:type="page"/>
      </w:r>
      <w:bookmarkStart w:id="0" w:name="_Toc266173859"/>
      <w:bookmarkStart w:id="1" w:name="_Toc266174016"/>
      <w:bookmarkStart w:id="2" w:name="_Toc266174721"/>
      <w:bookmarkStart w:id="3" w:name="_Toc266174922"/>
      <w:bookmarkStart w:id="4" w:name="_Toc266178234"/>
      <w:bookmarkStart w:id="5" w:name="_Toc266257201"/>
      <w:bookmarkStart w:id="6" w:name="_Toc266257364"/>
      <w:bookmarkStart w:id="7" w:name="_Toc266257521"/>
      <w:bookmarkStart w:id="8" w:name="_Toc266257680"/>
      <w:r w:rsidRPr="00A21E96">
        <w:rPr>
          <w:rFonts w:ascii="黑体" w:eastAsia="黑体" w:hAnsi="黑体" w:hint="eastAsia"/>
          <w:bCs/>
          <w:sz w:val="30"/>
          <w:szCs w:val="30"/>
        </w:rPr>
        <w:lastRenderedPageBreak/>
        <w:t>附表</w:t>
      </w:r>
    </w:p>
    <w:p w:rsidR="00B32258" w:rsidRPr="00882AB7" w:rsidRDefault="00B32258" w:rsidP="00B32258">
      <w:pPr>
        <w:spacing w:line="420" w:lineRule="exact"/>
        <w:ind w:firstLine="0"/>
        <w:jc w:val="center"/>
        <w:rPr>
          <w:rFonts w:ascii="方正小标宋简体" w:eastAsia="方正小标宋简体" w:hAnsi="Calibri"/>
          <w:sz w:val="30"/>
          <w:szCs w:val="30"/>
        </w:rPr>
      </w:pPr>
      <w:r w:rsidRPr="00882AB7">
        <w:rPr>
          <w:rFonts w:ascii="方正小标宋简体" w:eastAsia="方正小标宋简体" w:hAnsi="Calibri" w:hint="eastAsia"/>
          <w:sz w:val="30"/>
          <w:szCs w:val="30"/>
        </w:rPr>
        <w:t>不合格材料退场记录</w:t>
      </w:r>
    </w:p>
    <w:p w:rsidR="00B32258" w:rsidRPr="00CB2AC4" w:rsidRDefault="00B32258" w:rsidP="00B32258">
      <w:pPr>
        <w:spacing w:line="420" w:lineRule="exact"/>
        <w:ind w:firstLine="0"/>
        <w:jc w:val="both"/>
        <w:outlineLvl w:val="0"/>
        <w:rPr>
          <w:rFonts w:hAnsi="Calibri"/>
          <w:sz w:val="24"/>
          <w:szCs w:val="22"/>
        </w:rPr>
      </w:pPr>
      <w:r w:rsidRPr="00CB2AC4">
        <w:rPr>
          <w:rFonts w:hAnsi="Cambria"/>
          <w:bCs/>
        </w:rPr>
        <w:t xml:space="preserve">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B2AC4">
        <w:rPr>
          <w:rFonts w:hAnsi="Calibri" w:hint="eastAsia"/>
          <w:sz w:val="24"/>
          <w:szCs w:val="22"/>
        </w:rPr>
        <w:t>工程名称：</w:t>
      </w:r>
      <w:r w:rsidRPr="00CB2AC4">
        <w:rPr>
          <w:rFonts w:hAnsi="Calibri"/>
          <w:sz w:val="24"/>
          <w:szCs w:val="22"/>
        </w:rPr>
        <w:t xml:space="preserve">                                        </w:t>
      </w:r>
      <w:r w:rsidRPr="00CB2AC4">
        <w:rPr>
          <w:rFonts w:hAnsi="Calibri" w:hint="eastAsia"/>
          <w:sz w:val="24"/>
          <w:szCs w:val="22"/>
        </w:rPr>
        <w:t>编号：</w:t>
      </w:r>
    </w:p>
    <w:tbl>
      <w:tblPr>
        <w:tblW w:w="8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68"/>
        <w:gridCol w:w="792"/>
        <w:gridCol w:w="648"/>
        <w:gridCol w:w="1100"/>
        <w:gridCol w:w="1800"/>
        <w:gridCol w:w="4048"/>
      </w:tblGrid>
      <w:tr w:rsidR="00B32258" w:rsidRPr="00CB2AC4" w:rsidTr="0046709B">
        <w:trPr>
          <w:trHeight w:val="567"/>
        </w:trPr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物资名称</w:t>
            </w:r>
          </w:p>
        </w:tc>
        <w:tc>
          <w:tcPr>
            <w:tcW w:w="174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供应商</w:t>
            </w:r>
          </w:p>
        </w:tc>
        <w:tc>
          <w:tcPr>
            <w:tcW w:w="4048" w:type="dxa"/>
            <w:tcBorders>
              <w:lef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B32258" w:rsidRPr="00CB2AC4" w:rsidTr="0046709B">
        <w:trPr>
          <w:trHeight w:val="567"/>
        </w:trPr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规格型号</w:t>
            </w:r>
          </w:p>
        </w:tc>
        <w:tc>
          <w:tcPr>
            <w:tcW w:w="174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生产厂家</w:t>
            </w:r>
          </w:p>
        </w:tc>
        <w:tc>
          <w:tcPr>
            <w:tcW w:w="4048" w:type="dxa"/>
            <w:tcBorders>
              <w:lef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B32258" w:rsidRPr="00CB2AC4" w:rsidTr="0046709B">
        <w:trPr>
          <w:trHeight w:val="567"/>
        </w:trPr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数</w:t>
            </w:r>
            <w:r w:rsidRPr="00FA3BD5">
              <w:rPr>
                <w:rFonts w:hAnsi="Calibri"/>
                <w:sz w:val="24"/>
                <w:szCs w:val="24"/>
              </w:rPr>
              <w:t xml:space="preserve">    </w:t>
            </w:r>
            <w:r w:rsidRPr="00FA3BD5">
              <w:rPr>
                <w:rFonts w:hAnsi="Calibri" w:hint="eastAsia"/>
                <w:sz w:val="24"/>
                <w:szCs w:val="24"/>
              </w:rPr>
              <w:t>量</w:t>
            </w:r>
          </w:p>
        </w:tc>
        <w:tc>
          <w:tcPr>
            <w:tcW w:w="174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品</w:t>
            </w:r>
            <w:r w:rsidRPr="00FA3BD5">
              <w:rPr>
                <w:rFonts w:hAnsi="Calibri"/>
                <w:sz w:val="24"/>
                <w:szCs w:val="24"/>
              </w:rPr>
              <w:t xml:space="preserve">   </w:t>
            </w:r>
            <w:r w:rsidRPr="00FA3BD5">
              <w:rPr>
                <w:rFonts w:hAnsi="Calibri" w:hint="eastAsia"/>
                <w:sz w:val="24"/>
                <w:szCs w:val="24"/>
              </w:rPr>
              <w:t>牌</w:t>
            </w:r>
          </w:p>
        </w:tc>
        <w:tc>
          <w:tcPr>
            <w:tcW w:w="4048" w:type="dxa"/>
            <w:tcBorders>
              <w:lef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B32258" w:rsidRPr="00CB2AC4" w:rsidTr="0046709B">
        <w:trPr>
          <w:trHeight w:val="567"/>
        </w:trPr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来</w:t>
            </w:r>
            <w:r w:rsidRPr="00FA3BD5">
              <w:rPr>
                <w:rFonts w:hAnsi="Calibri"/>
                <w:sz w:val="24"/>
                <w:szCs w:val="24"/>
              </w:rPr>
              <w:t xml:space="preserve">    </w:t>
            </w:r>
            <w:r w:rsidRPr="00FA3BD5">
              <w:rPr>
                <w:rFonts w:hAnsi="Calibri" w:hint="eastAsia"/>
                <w:sz w:val="24"/>
                <w:szCs w:val="24"/>
              </w:rPr>
              <w:t>源</w:t>
            </w:r>
          </w:p>
        </w:tc>
        <w:tc>
          <w:tcPr>
            <w:tcW w:w="7596" w:type="dxa"/>
            <w:gridSpan w:val="4"/>
            <w:tcBorders>
              <w:left w:val="single" w:sz="6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B32258" w:rsidRPr="00CB2AC4" w:rsidTr="0046709B">
        <w:trPr>
          <w:trHeight w:val="2009"/>
        </w:trPr>
        <w:tc>
          <w:tcPr>
            <w:tcW w:w="8856" w:type="dxa"/>
            <w:gridSpan w:val="6"/>
          </w:tcPr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不合格原因：</w:t>
            </w:r>
          </w:p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Pr="00CB2AC4" w:rsidRDefault="00B32258" w:rsidP="0046709B">
            <w:pPr>
              <w:spacing w:line="420" w:lineRule="exact"/>
              <w:ind w:firstLine="0"/>
              <w:rPr>
                <w:rFonts w:hAnsi="Wingdings" w:hint="eastAsia"/>
                <w:sz w:val="24"/>
                <w:szCs w:val="20"/>
              </w:rPr>
            </w:pPr>
          </w:p>
        </w:tc>
      </w:tr>
      <w:tr w:rsidR="00B32258" w:rsidRPr="00CB2AC4" w:rsidTr="0046709B">
        <w:trPr>
          <w:trHeight w:val="1070"/>
        </w:trPr>
        <w:tc>
          <w:tcPr>
            <w:tcW w:w="8856" w:type="dxa"/>
            <w:gridSpan w:val="6"/>
          </w:tcPr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2"/>
              </w:rPr>
            </w:pPr>
            <w:r w:rsidRPr="00CB2AC4">
              <w:rPr>
                <w:rFonts w:hAnsi="Calibri" w:hint="eastAsia"/>
                <w:sz w:val="24"/>
                <w:szCs w:val="22"/>
              </w:rPr>
              <w:t>处理意见：</w:t>
            </w:r>
          </w:p>
          <w:p w:rsidR="00B32258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2"/>
              </w:rPr>
            </w:pPr>
          </w:p>
          <w:p w:rsidR="00B32258" w:rsidRPr="00CB2AC4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2"/>
              </w:rPr>
            </w:pPr>
          </w:p>
        </w:tc>
      </w:tr>
      <w:tr w:rsidR="00B32258" w:rsidRPr="00CB2AC4" w:rsidTr="0046709B">
        <w:trPr>
          <w:cantSplit/>
          <w:trHeight w:val="907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B32258" w:rsidRPr="00CB2AC4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2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退场见证人员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单位名称：</w:t>
            </w: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项目负责人签字：</w:t>
            </w:r>
            <w:r w:rsidRPr="00FA3BD5">
              <w:rPr>
                <w:rFonts w:hAnsi="Calibri"/>
                <w:sz w:val="24"/>
                <w:szCs w:val="24"/>
              </w:rPr>
              <w:t xml:space="preserve">               </w:t>
            </w:r>
            <w:r w:rsidRPr="00FA3BD5">
              <w:rPr>
                <w:rFonts w:hAnsi="Calibri" w:hint="eastAsia"/>
                <w:sz w:val="24"/>
                <w:szCs w:val="24"/>
              </w:rPr>
              <w:t>年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月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日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时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分</w:t>
            </w:r>
          </w:p>
        </w:tc>
      </w:tr>
      <w:tr w:rsidR="00B32258" w:rsidRPr="00CB2AC4" w:rsidTr="0046709B">
        <w:trPr>
          <w:cantSplit/>
          <w:trHeight w:val="907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B32258" w:rsidRPr="00CB2AC4" w:rsidRDefault="00B32258" w:rsidP="0046709B">
            <w:pPr>
              <w:spacing w:line="420" w:lineRule="exact"/>
              <w:ind w:firstLineChars="100" w:firstLine="240"/>
              <w:jc w:val="center"/>
              <w:rPr>
                <w:rFonts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专业分包</w:t>
            </w:r>
          </w:p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单位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单位名称：</w:t>
            </w: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项目负责人签字：</w:t>
            </w:r>
            <w:r w:rsidRPr="00FA3BD5">
              <w:rPr>
                <w:rFonts w:hAnsi="Calibri"/>
                <w:sz w:val="24"/>
                <w:szCs w:val="24"/>
              </w:rPr>
              <w:t xml:space="preserve">               </w:t>
            </w:r>
            <w:r w:rsidRPr="00FA3BD5">
              <w:rPr>
                <w:rFonts w:hAnsi="Calibri" w:hint="eastAsia"/>
                <w:sz w:val="24"/>
                <w:szCs w:val="24"/>
              </w:rPr>
              <w:t>年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月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日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时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分</w:t>
            </w:r>
          </w:p>
        </w:tc>
      </w:tr>
      <w:tr w:rsidR="00B32258" w:rsidRPr="00CB2AC4" w:rsidTr="0046709B">
        <w:trPr>
          <w:cantSplit/>
          <w:trHeight w:val="907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B32258" w:rsidRPr="00CB2AC4" w:rsidRDefault="00B32258" w:rsidP="0046709B">
            <w:pPr>
              <w:spacing w:line="420" w:lineRule="exact"/>
              <w:ind w:firstLineChars="100" w:firstLine="240"/>
              <w:jc w:val="center"/>
              <w:rPr>
                <w:rFonts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FA3BD5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监理单位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单位名称：</w:t>
            </w: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总监理工程师签字：</w:t>
            </w:r>
            <w:r w:rsidRPr="00FA3BD5">
              <w:rPr>
                <w:rFonts w:hAnsi="Calibri"/>
                <w:sz w:val="24"/>
                <w:szCs w:val="24"/>
              </w:rPr>
              <w:t xml:space="preserve">             </w:t>
            </w:r>
            <w:r w:rsidRPr="00FA3BD5">
              <w:rPr>
                <w:rFonts w:hAnsi="Calibri" w:hint="eastAsia"/>
                <w:sz w:val="24"/>
                <w:szCs w:val="24"/>
              </w:rPr>
              <w:t>年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月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日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时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分</w:t>
            </w:r>
          </w:p>
        </w:tc>
      </w:tr>
      <w:tr w:rsidR="00B32258" w:rsidRPr="00CB2AC4" w:rsidTr="0046709B">
        <w:trPr>
          <w:cantSplit/>
          <w:trHeight w:val="1464"/>
        </w:trPr>
        <w:tc>
          <w:tcPr>
            <w:tcW w:w="8856" w:type="dxa"/>
            <w:gridSpan w:val="6"/>
          </w:tcPr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FA3BD5">
              <w:rPr>
                <w:rFonts w:hAnsi="Calibri" w:hint="eastAsia"/>
                <w:sz w:val="24"/>
                <w:szCs w:val="24"/>
              </w:rPr>
              <w:t>材料供应单位接收确认：</w:t>
            </w:r>
          </w:p>
          <w:p w:rsidR="00B32258" w:rsidRPr="00FA3BD5" w:rsidRDefault="00B3225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B32258" w:rsidRPr="009C143E" w:rsidRDefault="00B3225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接收人员签字：</w:t>
            </w:r>
            <w:r>
              <w:rPr>
                <w:rFonts w:hAnsi="Calibri"/>
                <w:sz w:val="24"/>
                <w:szCs w:val="24"/>
              </w:rPr>
              <w:t xml:space="preserve">             </w:t>
            </w:r>
            <w:r w:rsidRPr="00FA3BD5">
              <w:rPr>
                <w:rFonts w:hAnsi="Calibri"/>
                <w:sz w:val="24"/>
                <w:szCs w:val="24"/>
              </w:rPr>
              <w:t xml:space="preserve"> </w:t>
            </w:r>
            <w:r w:rsidRPr="00FA3BD5">
              <w:rPr>
                <w:rFonts w:hAnsi="Calibri" w:hint="eastAsia"/>
                <w:sz w:val="24"/>
                <w:szCs w:val="24"/>
              </w:rPr>
              <w:t>年</w:t>
            </w:r>
            <w:r w:rsidRPr="00FA3BD5"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月</w:t>
            </w:r>
            <w:r>
              <w:rPr>
                <w:rFonts w:hAnsi="Calibri"/>
                <w:sz w:val="24"/>
                <w:szCs w:val="24"/>
              </w:rPr>
              <w:t xml:space="preserve">  </w:t>
            </w:r>
            <w:r w:rsidRPr="00FA3BD5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</w:tbl>
    <w:p w:rsidR="008D356F" w:rsidRPr="00B32258" w:rsidRDefault="008D356F"/>
    <w:sectPr w:rsidR="008D356F" w:rsidRPr="00B32258" w:rsidSect="008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D3" w:rsidRDefault="00B10BD3" w:rsidP="00B32258">
      <w:pPr>
        <w:spacing w:line="240" w:lineRule="auto"/>
      </w:pPr>
      <w:r>
        <w:separator/>
      </w:r>
    </w:p>
  </w:endnote>
  <w:endnote w:type="continuationSeparator" w:id="0">
    <w:p w:rsidR="00B10BD3" w:rsidRDefault="00B10BD3" w:rsidP="00B32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D3" w:rsidRDefault="00B10BD3" w:rsidP="00B32258">
      <w:pPr>
        <w:spacing w:line="240" w:lineRule="auto"/>
      </w:pPr>
      <w:r>
        <w:separator/>
      </w:r>
    </w:p>
  </w:footnote>
  <w:footnote w:type="continuationSeparator" w:id="0">
    <w:p w:rsidR="00B10BD3" w:rsidRDefault="00B10BD3" w:rsidP="00B322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258"/>
    <w:rsid w:val="008D356F"/>
    <w:rsid w:val="00B10BD3"/>
    <w:rsid w:val="00B3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58"/>
    <w:pPr>
      <w:widowControl w:val="0"/>
      <w:spacing w:line="600" w:lineRule="exact"/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258"/>
    <w:pPr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2018-04-04T03:26:00Z</dcterms:created>
  <dcterms:modified xsi:type="dcterms:W3CDTF">2018-04-04T03:27:00Z</dcterms:modified>
</cp:coreProperties>
</file>